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43AB4" w14:textId="77777777" w:rsidR="00053BFF" w:rsidRPr="00297A52" w:rsidRDefault="00053BFF" w:rsidP="00297A52">
      <w:pPr>
        <w:pStyle w:val="Sangra3detindependiente"/>
        <w:spacing w:line="360" w:lineRule="auto"/>
        <w:jc w:val="center"/>
        <w:rPr>
          <w:b/>
          <w:szCs w:val="24"/>
          <w:lang w:val="es-ES_tradnl"/>
        </w:rPr>
      </w:pPr>
    </w:p>
    <w:p w14:paraId="426CB679" w14:textId="77777777" w:rsidR="00053BFF" w:rsidRPr="00297A52" w:rsidRDefault="00053BFF" w:rsidP="00297A52">
      <w:pPr>
        <w:pStyle w:val="Sangra3detindependiente"/>
        <w:spacing w:line="360" w:lineRule="auto"/>
        <w:jc w:val="center"/>
        <w:rPr>
          <w:b/>
          <w:szCs w:val="24"/>
          <w:lang w:val="es-ES_tradnl"/>
        </w:rPr>
      </w:pPr>
    </w:p>
    <w:p w14:paraId="5FA12ACE" w14:textId="4053A4B2" w:rsidR="004F14D4" w:rsidRPr="00B06CE3" w:rsidRDefault="004F14D4" w:rsidP="00297A52">
      <w:pPr>
        <w:pStyle w:val="Sangra3detindependiente"/>
        <w:spacing w:line="360" w:lineRule="auto"/>
        <w:jc w:val="center"/>
        <w:rPr>
          <w:b/>
          <w:sz w:val="28"/>
          <w:szCs w:val="28"/>
          <w:lang w:val="es-ES_tradnl"/>
        </w:rPr>
      </w:pPr>
      <w:r w:rsidRPr="00B06CE3">
        <w:rPr>
          <w:b/>
          <w:sz w:val="28"/>
          <w:szCs w:val="28"/>
          <w:lang w:val="es-ES_tradnl"/>
        </w:rPr>
        <w:t>F</w:t>
      </w:r>
      <w:r w:rsidR="0069201B" w:rsidRPr="00B06CE3">
        <w:rPr>
          <w:b/>
          <w:sz w:val="28"/>
          <w:szCs w:val="28"/>
          <w:lang w:val="es-ES_tradnl"/>
        </w:rPr>
        <w:t xml:space="preserve">RACCIONAMIENTO DEL PODER IMPOSITIVO </w:t>
      </w:r>
    </w:p>
    <w:p w14:paraId="466BE1D5" w14:textId="77777777" w:rsidR="00053BFF" w:rsidRPr="00297A52" w:rsidRDefault="00053BFF" w:rsidP="00297A52">
      <w:pPr>
        <w:pStyle w:val="Sangra3detindependiente"/>
        <w:spacing w:line="360" w:lineRule="auto"/>
        <w:ind w:firstLine="0"/>
        <w:rPr>
          <w:szCs w:val="24"/>
          <w:lang w:val="es-ES_tradnl"/>
        </w:rPr>
      </w:pPr>
    </w:p>
    <w:p w14:paraId="33C37433" w14:textId="1C7D8F8A" w:rsidR="004F14D4" w:rsidRDefault="004F14D4" w:rsidP="00297A52">
      <w:pPr>
        <w:pStyle w:val="Sangra3detindependiente"/>
        <w:spacing w:line="360" w:lineRule="auto"/>
        <w:jc w:val="center"/>
        <w:rPr>
          <w:i/>
          <w:iCs/>
          <w:szCs w:val="24"/>
          <w:lang w:val="es-ES_tradnl"/>
        </w:rPr>
      </w:pPr>
      <w:r w:rsidRPr="00297A52">
        <w:rPr>
          <w:i/>
          <w:iCs/>
          <w:szCs w:val="24"/>
          <w:lang w:val="es-ES_tradnl"/>
        </w:rPr>
        <w:t>Jorge C. Ávila</w:t>
      </w:r>
      <w:r w:rsidR="0069201B" w:rsidRPr="00297A52">
        <w:rPr>
          <w:rStyle w:val="Refdenotaalpie"/>
          <w:i/>
          <w:iCs/>
          <w:szCs w:val="24"/>
          <w:lang w:val="es-ES_tradnl"/>
        </w:rPr>
        <w:footnoteReference w:id="1"/>
      </w:r>
    </w:p>
    <w:p w14:paraId="17F86E3D" w14:textId="66F15A3F" w:rsidR="00D049BF" w:rsidRDefault="00D049BF" w:rsidP="00297A52">
      <w:pPr>
        <w:pStyle w:val="Sangra3detindependiente"/>
        <w:spacing w:line="360" w:lineRule="auto"/>
        <w:jc w:val="center"/>
        <w:rPr>
          <w:i/>
          <w:iCs/>
          <w:szCs w:val="24"/>
          <w:lang w:val="es-ES_tradnl"/>
        </w:rPr>
      </w:pPr>
    </w:p>
    <w:p w14:paraId="1F3324EC" w14:textId="77777777" w:rsidR="00D049BF" w:rsidRDefault="00D049BF" w:rsidP="00D049BF">
      <w:pPr>
        <w:pStyle w:val="Sangra3detindependiente"/>
        <w:spacing w:line="360" w:lineRule="auto"/>
        <w:ind w:firstLine="0"/>
        <w:rPr>
          <w:szCs w:val="24"/>
          <w:lang w:val="en-US"/>
        </w:rPr>
      </w:pPr>
    </w:p>
    <w:p w14:paraId="12652A75" w14:textId="4A28EDAF" w:rsidR="00D049BF" w:rsidRPr="00D049BF" w:rsidRDefault="00D049BF" w:rsidP="00D049BF">
      <w:pPr>
        <w:pStyle w:val="Sangra3detindependiente"/>
        <w:spacing w:line="360" w:lineRule="auto"/>
        <w:ind w:firstLine="0"/>
        <w:rPr>
          <w:sz w:val="22"/>
          <w:szCs w:val="22"/>
          <w:lang w:val="en-US"/>
        </w:rPr>
      </w:pPr>
      <w:proofErr w:type="spellStart"/>
      <w:r w:rsidRPr="00D049BF">
        <w:rPr>
          <w:sz w:val="22"/>
          <w:szCs w:val="22"/>
          <w:lang w:val="en-US"/>
        </w:rPr>
        <w:t>recepción</w:t>
      </w:r>
      <w:proofErr w:type="spellEnd"/>
      <w:r w:rsidRPr="00D049BF">
        <w:rPr>
          <w:sz w:val="22"/>
          <w:szCs w:val="22"/>
          <w:lang w:val="en-US"/>
        </w:rPr>
        <w:t xml:space="preserve">: 19 de </w:t>
      </w:r>
      <w:proofErr w:type="spellStart"/>
      <w:r w:rsidRPr="00D049BF">
        <w:rPr>
          <w:sz w:val="22"/>
          <w:szCs w:val="22"/>
          <w:lang w:val="en-US"/>
        </w:rPr>
        <w:t>julio</w:t>
      </w:r>
      <w:proofErr w:type="spellEnd"/>
      <w:r w:rsidRPr="00D049BF">
        <w:rPr>
          <w:sz w:val="22"/>
          <w:szCs w:val="22"/>
          <w:lang w:val="en-US"/>
        </w:rPr>
        <w:t xml:space="preserve"> de 2020</w:t>
      </w:r>
    </w:p>
    <w:p w14:paraId="4E1A8FF6" w14:textId="0851EE20" w:rsidR="00D049BF" w:rsidRPr="00D049BF" w:rsidRDefault="00D049BF" w:rsidP="00D049BF">
      <w:pPr>
        <w:pStyle w:val="Sangra3detindependiente"/>
        <w:spacing w:line="360" w:lineRule="auto"/>
        <w:ind w:firstLine="0"/>
        <w:rPr>
          <w:sz w:val="22"/>
          <w:szCs w:val="22"/>
          <w:lang w:val="en-US"/>
        </w:rPr>
      </w:pPr>
      <w:proofErr w:type="spellStart"/>
      <w:r w:rsidRPr="00D049BF">
        <w:rPr>
          <w:sz w:val="22"/>
          <w:szCs w:val="22"/>
          <w:lang w:val="en-US"/>
        </w:rPr>
        <w:t>aceptación</w:t>
      </w:r>
      <w:proofErr w:type="spellEnd"/>
      <w:r w:rsidRPr="00D049BF">
        <w:rPr>
          <w:sz w:val="22"/>
          <w:szCs w:val="22"/>
          <w:lang w:val="en-US"/>
        </w:rPr>
        <w:t xml:space="preserve">: 29 de </w:t>
      </w:r>
      <w:proofErr w:type="spellStart"/>
      <w:r w:rsidRPr="00D049BF">
        <w:rPr>
          <w:sz w:val="22"/>
          <w:szCs w:val="22"/>
          <w:lang w:val="en-US"/>
        </w:rPr>
        <w:t>julio</w:t>
      </w:r>
      <w:proofErr w:type="spellEnd"/>
      <w:r w:rsidRPr="00D049BF">
        <w:rPr>
          <w:sz w:val="22"/>
          <w:szCs w:val="22"/>
          <w:lang w:val="en-US"/>
        </w:rPr>
        <w:t xml:space="preserve"> de 2020</w:t>
      </w:r>
    </w:p>
    <w:p w14:paraId="54200557" w14:textId="77777777" w:rsidR="00D049BF" w:rsidRPr="00297A52" w:rsidRDefault="00D049BF" w:rsidP="00297A52">
      <w:pPr>
        <w:pStyle w:val="Sangra3detindependiente"/>
        <w:spacing w:line="360" w:lineRule="auto"/>
        <w:jc w:val="center"/>
        <w:rPr>
          <w:i/>
          <w:iCs/>
          <w:szCs w:val="24"/>
          <w:lang w:val="es-ES_tradnl"/>
        </w:rPr>
      </w:pPr>
    </w:p>
    <w:p w14:paraId="1F044F52" w14:textId="3B582469" w:rsidR="00B719AE" w:rsidRPr="00B719AE" w:rsidRDefault="00B719AE" w:rsidP="000231A2">
      <w:pPr>
        <w:pStyle w:val="Sangra3detindependiente"/>
        <w:spacing w:line="360" w:lineRule="auto"/>
        <w:jc w:val="center"/>
        <w:rPr>
          <w:szCs w:val="24"/>
        </w:rPr>
      </w:pPr>
    </w:p>
    <w:p w14:paraId="74B15848" w14:textId="77777777" w:rsidR="0072368A" w:rsidRPr="00B719AE" w:rsidRDefault="0072368A" w:rsidP="00297A52">
      <w:pPr>
        <w:pStyle w:val="Sangra3detindependiente"/>
        <w:spacing w:line="360" w:lineRule="auto"/>
        <w:rPr>
          <w:szCs w:val="24"/>
        </w:rPr>
      </w:pPr>
    </w:p>
    <w:p w14:paraId="77F8122A" w14:textId="0A48B4C4" w:rsidR="0072368A" w:rsidRPr="00583A03" w:rsidRDefault="004B5968" w:rsidP="00297A52">
      <w:pPr>
        <w:pStyle w:val="Sangra3detindependiente"/>
        <w:spacing w:line="360" w:lineRule="auto"/>
        <w:ind w:firstLine="0"/>
        <w:rPr>
          <w:bCs/>
          <w:szCs w:val="24"/>
        </w:rPr>
      </w:pPr>
      <w:r w:rsidRPr="001A5299">
        <w:rPr>
          <w:b/>
          <w:bCs/>
          <w:szCs w:val="24"/>
        </w:rPr>
        <w:t>Resumen</w:t>
      </w:r>
      <w:r w:rsidRPr="00583A03">
        <w:rPr>
          <w:b/>
          <w:bCs/>
          <w:szCs w:val="24"/>
        </w:rPr>
        <w:t>:</w:t>
      </w:r>
      <w:r w:rsidRPr="00583A03">
        <w:rPr>
          <w:bCs/>
          <w:szCs w:val="24"/>
        </w:rPr>
        <w:t xml:space="preserve"> </w:t>
      </w:r>
      <w:r w:rsidR="00100EDD" w:rsidRPr="00583A03">
        <w:rPr>
          <w:bCs/>
          <w:szCs w:val="24"/>
        </w:rPr>
        <w:t>El ensayo respalda esta hipótesis</w:t>
      </w:r>
      <w:r w:rsidR="003B714F" w:rsidRPr="00583A03">
        <w:rPr>
          <w:bCs/>
          <w:szCs w:val="24"/>
        </w:rPr>
        <w:t xml:space="preserve">: </w:t>
      </w:r>
      <w:r w:rsidR="00815404" w:rsidRPr="00583A03">
        <w:rPr>
          <w:bCs/>
          <w:szCs w:val="24"/>
        </w:rPr>
        <w:t xml:space="preserve">cuando </w:t>
      </w:r>
      <w:r w:rsidR="003B714F" w:rsidRPr="00583A03">
        <w:rPr>
          <w:bCs/>
          <w:szCs w:val="24"/>
        </w:rPr>
        <w:t xml:space="preserve">las provincias se </w:t>
      </w:r>
      <w:r w:rsidR="00815404" w:rsidRPr="00583A03">
        <w:rPr>
          <w:bCs/>
          <w:szCs w:val="24"/>
        </w:rPr>
        <w:t>financia</w:t>
      </w:r>
      <w:r w:rsidR="003B714F" w:rsidRPr="00583A03">
        <w:rPr>
          <w:bCs/>
          <w:szCs w:val="24"/>
        </w:rPr>
        <w:t>n</w:t>
      </w:r>
      <w:r w:rsidR="00815404" w:rsidRPr="00583A03">
        <w:rPr>
          <w:bCs/>
          <w:szCs w:val="24"/>
        </w:rPr>
        <w:t xml:space="preserve"> </w:t>
      </w:r>
      <w:r w:rsidRPr="00583A03">
        <w:rPr>
          <w:bCs/>
          <w:szCs w:val="24"/>
        </w:rPr>
        <w:t>por medio de transferencias nacionales</w:t>
      </w:r>
      <w:r w:rsidR="003B714F" w:rsidRPr="00583A03">
        <w:rPr>
          <w:bCs/>
          <w:szCs w:val="24"/>
        </w:rPr>
        <w:t xml:space="preserve"> el</w:t>
      </w:r>
      <w:r w:rsidR="00D25B17" w:rsidRPr="00583A03">
        <w:rPr>
          <w:bCs/>
          <w:szCs w:val="24"/>
        </w:rPr>
        <w:t xml:space="preserve"> </w:t>
      </w:r>
      <w:r w:rsidR="00815404" w:rsidRPr="00583A03">
        <w:rPr>
          <w:bCs/>
          <w:szCs w:val="24"/>
        </w:rPr>
        <w:t xml:space="preserve">gasto </w:t>
      </w:r>
      <w:r w:rsidR="00E555F0" w:rsidRPr="00583A03">
        <w:rPr>
          <w:bCs/>
          <w:szCs w:val="24"/>
        </w:rPr>
        <w:t>resulta</w:t>
      </w:r>
      <w:r w:rsidR="003B714F" w:rsidRPr="00583A03">
        <w:rPr>
          <w:bCs/>
          <w:szCs w:val="24"/>
        </w:rPr>
        <w:t xml:space="preserve"> excesivo. </w:t>
      </w:r>
      <w:r w:rsidR="00615135" w:rsidRPr="00583A03">
        <w:rPr>
          <w:bCs/>
          <w:szCs w:val="24"/>
        </w:rPr>
        <w:t>El fenómeno de la</w:t>
      </w:r>
      <w:r w:rsidR="000F5F47" w:rsidRPr="00583A03">
        <w:rPr>
          <w:bCs/>
          <w:szCs w:val="24"/>
        </w:rPr>
        <w:t xml:space="preserve"> ilusión fiscal y el modelo del Leviatán </w:t>
      </w:r>
      <w:r w:rsidR="00100EDD" w:rsidRPr="00583A03">
        <w:rPr>
          <w:bCs/>
          <w:szCs w:val="24"/>
        </w:rPr>
        <w:t xml:space="preserve">ayudan </w:t>
      </w:r>
      <w:r w:rsidR="003462FB" w:rsidRPr="00583A03">
        <w:rPr>
          <w:bCs/>
          <w:szCs w:val="24"/>
        </w:rPr>
        <w:t xml:space="preserve">a explicar </w:t>
      </w:r>
      <w:r w:rsidR="00D16620" w:rsidRPr="00583A03">
        <w:rPr>
          <w:bCs/>
          <w:szCs w:val="24"/>
        </w:rPr>
        <w:t>e</w:t>
      </w:r>
      <w:r w:rsidR="00615135" w:rsidRPr="00583A03">
        <w:rPr>
          <w:bCs/>
          <w:szCs w:val="24"/>
        </w:rPr>
        <w:t>se resultado</w:t>
      </w:r>
      <w:r w:rsidR="003462FB" w:rsidRPr="00583A03">
        <w:rPr>
          <w:bCs/>
          <w:szCs w:val="24"/>
        </w:rPr>
        <w:t xml:space="preserve">. </w:t>
      </w:r>
      <w:r w:rsidR="00100EDD" w:rsidRPr="00583A03">
        <w:rPr>
          <w:bCs/>
          <w:szCs w:val="24"/>
        </w:rPr>
        <w:t>Y</w:t>
      </w:r>
      <w:r w:rsidR="007A5B36" w:rsidRPr="00583A03">
        <w:rPr>
          <w:bCs/>
          <w:szCs w:val="24"/>
        </w:rPr>
        <w:t xml:space="preserve"> </w:t>
      </w:r>
      <w:r w:rsidR="0001016E" w:rsidRPr="00583A03">
        <w:rPr>
          <w:bCs/>
          <w:szCs w:val="24"/>
        </w:rPr>
        <w:t xml:space="preserve">la </w:t>
      </w:r>
      <w:r w:rsidR="003462FB" w:rsidRPr="00583A03">
        <w:rPr>
          <w:bCs/>
          <w:szCs w:val="24"/>
        </w:rPr>
        <w:t xml:space="preserve">cartelización de la recaudación </w:t>
      </w:r>
      <w:r w:rsidR="00557493" w:rsidRPr="00583A03">
        <w:rPr>
          <w:bCs/>
          <w:szCs w:val="24"/>
        </w:rPr>
        <w:t>impositiva</w:t>
      </w:r>
      <w:r w:rsidR="003462FB" w:rsidRPr="00583A03">
        <w:rPr>
          <w:bCs/>
          <w:szCs w:val="24"/>
        </w:rPr>
        <w:t xml:space="preserve"> ayuda a explicar </w:t>
      </w:r>
      <w:r w:rsidR="0001016E" w:rsidRPr="00583A03">
        <w:rPr>
          <w:bCs/>
          <w:szCs w:val="24"/>
        </w:rPr>
        <w:t>el motivo</w:t>
      </w:r>
      <w:r w:rsidR="003462FB" w:rsidRPr="00583A03">
        <w:rPr>
          <w:bCs/>
          <w:szCs w:val="24"/>
        </w:rPr>
        <w:t xml:space="preserve"> por </w:t>
      </w:r>
      <w:r w:rsidR="00E555F0" w:rsidRPr="00583A03">
        <w:rPr>
          <w:bCs/>
          <w:szCs w:val="24"/>
        </w:rPr>
        <w:t>el cual</w:t>
      </w:r>
      <w:r w:rsidR="003462FB" w:rsidRPr="00583A03">
        <w:rPr>
          <w:bCs/>
          <w:szCs w:val="24"/>
        </w:rPr>
        <w:t xml:space="preserve"> los gobernadores</w:t>
      </w:r>
      <w:r w:rsidR="0001016E" w:rsidRPr="00583A03">
        <w:rPr>
          <w:bCs/>
          <w:szCs w:val="24"/>
        </w:rPr>
        <w:t xml:space="preserve"> </w:t>
      </w:r>
      <w:r w:rsidR="007F15C0" w:rsidRPr="00583A03">
        <w:rPr>
          <w:bCs/>
          <w:szCs w:val="24"/>
        </w:rPr>
        <w:t>se muestran</w:t>
      </w:r>
      <w:r w:rsidR="0001016E" w:rsidRPr="00583A03">
        <w:rPr>
          <w:bCs/>
          <w:szCs w:val="24"/>
        </w:rPr>
        <w:t xml:space="preserve"> </w:t>
      </w:r>
      <w:r w:rsidR="00A85E68" w:rsidRPr="00583A03">
        <w:rPr>
          <w:bCs/>
          <w:szCs w:val="24"/>
        </w:rPr>
        <w:t>reacios</w:t>
      </w:r>
      <w:r w:rsidR="0001016E" w:rsidRPr="00583A03">
        <w:rPr>
          <w:bCs/>
          <w:szCs w:val="24"/>
        </w:rPr>
        <w:t xml:space="preserve"> a descentralizar la recaudación</w:t>
      </w:r>
      <w:r w:rsidR="00D16620" w:rsidRPr="00583A03">
        <w:rPr>
          <w:bCs/>
          <w:szCs w:val="24"/>
        </w:rPr>
        <w:t>.</w:t>
      </w:r>
      <w:r w:rsidR="003514AE" w:rsidRPr="00583A03">
        <w:rPr>
          <w:bCs/>
          <w:szCs w:val="24"/>
        </w:rPr>
        <w:t xml:space="preserve"> </w:t>
      </w:r>
      <w:r w:rsidR="007004E0" w:rsidRPr="00583A03">
        <w:rPr>
          <w:bCs/>
          <w:szCs w:val="24"/>
        </w:rPr>
        <w:t xml:space="preserve">La suma de evidencia y argumentos político-institucionales es persuasiva. </w:t>
      </w:r>
      <w:r w:rsidR="00D24DD8" w:rsidRPr="00583A03">
        <w:rPr>
          <w:bCs/>
          <w:szCs w:val="24"/>
        </w:rPr>
        <w:t xml:space="preserve">Concluimos </w:t>
      </w:r>
      <w:r w:rsidR="003514AE" w:rsidRPr="00583A03">
        <w:rPr>
          <w:bCs/>
          <w:szCs w:val="24"/>
        </w:rPr>
        <w:t xml:space="preserve">que sería deseable </w:t>
      </w:r>
      <w:r w:rsidR="007B6C67" w:rsidRPr="00583A03">
        <w:rPr>
          <w:bCs/>
          <w:szCs w:val="24"/>
        </w:rPr>
        <w:t>sustituir</w:t>
      </w:r>
      <w:r w:rsidR="003514AE" w:rsidRPr="00583A03">
        <w:rPr>
          <w:bCs/>
          <w:szCs w:val="24"/>
        </w:rPr>
        <w:t xml:space="preserve"> la actual relaci</w:t>
      </w:r>
      <w:r w:rsidR="007B6C67" w:rsidRPr="00583A03">
        <w:rPr>
          <w:bCs/>
          <w:szCs w:val="24"/>
        </w:rPr>
        <w:t>ón entre el gobierno nacional y las provincia</w:t>
      </w:r>
      <w:r w:rsidR="002B7116" w:rsidRPr="00583A03">
        <w:rPr>
          <w:bCs/>
          <w:szCs w:val="24"/>
        </w:rPr>
        <w:t xml:space="preserve">s por una confederación. </w:t>
      </w:r>
      <w:r w:rsidR="00100EDD" w:rsidRPr="00583A03">
        <w:rPr>
          <w:bCs/>
          <w:szCs w:val="24"/>
        </w:rPr>
        <w:t>C</w:t>
      </w:r>
      <w:r w:rsidR="007B6C67" w:rsidRPr="00583A03">
        <w:rPr>
          <w:bCs/>
          <w:szCs w:val="24"/>
        </w:rPr>
        <w:t>onsider</w:t>
      </w:r>
      <w:r w:rsidR="00E555F0" w:rsidRPr="00583A03">
        <w:rPr>
          <w:bCs/>
          <w:szCs w:val="24"/>
        </w:rPr>
        <w:t>a</w:t>
      </w:r>
      <w:r w:rsidR="002B7116" w:rsidRPr="00583A03">
        <w:rPr>
          <w:bCs/>
          <w:szCs w:val="24"/>
        </w:rPr>
        <w:t>mos</w:t>
      </w:r>
      <w:r w:rsidR="007B6C67" w:rsidRPr="00583A03">
        <w:rPr>
          <w:bCs/>
          <w:szCs w:val="24"/>
        </w:rPr>
        <w:t xml:space="preserve"> dos formas de organizar la nueva relación. </w:t>
      </w:r>
      <w:r w:rsidR="00054AFF" w:rsidRPr="00583A03">
        <w:rPr>
          <w:bCs/>
          <w:szCs w:val="24"/>
        </w:rPr>
        <w:t>L</w:t>
      </w:r>
      <w:r w:rsidR="00CF0093" w:rsidRPr="00583A03">
        <w:rPr>
          <w:bCs/>
          <w:szCs w:val="24"/>
        </w:rPr>
        <w:t>a primera</w:t>
      </w:r>
      <w:r w:rsidR="00054AFF" w:rsidRPr="00583A03">
        <w:rPr>
          <w:bCs/>
          <w:szCs w:val="24"/>
        </w:rPr>
        <w:t xml:space="preserve"> consiste en que</w:t>
      </w:r>
      <w:r w:rsidR="00CF0093" w:rsidRPr="00583A03">
        <w:rPr>
          <w:bCs/>
          <w:szCs w:val="24"/>
        </w:rPr>
        <w:t xml:space="preserve"> </w:t>
      </w:r>
      <w:r w:rsidR="007B6C67" w:rsidRPr="00583A03">
        <w:rPr>
          <w:bCs/>
          <w:szCs w:val="24"/>
        </w:rPr>
        <w:t>las provincias sufrag</w:t>
      </w:r>
      <w:r w:rsidR="00054AFF" w:rsidRPr="00583A03">
        <w:rPr>
          <w:bCs/>
          <w:szCs w:val="24"/>
        </w:rPr>
        <w:t>uen</w:t>
      </w:r>
      <w:r w:rsidR="00CF0093" w:rsidRPr="00583A03">
        <w:rPr>
          <w:bCs/>
          <w:szCs w:val="24"/>
        </w:rPr>
        <w:t xml:space="preserve"> </w:t>
      </w:r>
      <w:r w:rsidR="007B6C67" w:rsidRPr="00583A03">
        <w:rPr>
          <w:bCs/>
          <w:szCs w:val="24"/>
        </w:rPr>
        <w:t xml:space="preserve">el gasto nacional </w:t>
      </w:r>
      <w:r w:rsidR="00054AFF" w:rsidRPr="00583A03">
        <w:rPr>
          <w:bCs/>
          <w:szCs w:val="24"/>
        </w:rPr>
        <w:t>con t</w:t>
      </w:r>
      <w:r w:rsidR="007B6C67" w:rsidRPr="00583A03">
        <w:rPr>
          <w:bCs/>
          <w:szCs w:val="24"/>
        </w:rPr>
        <w:t>ransferencias peri</w:t>
      </w:r>
      <w:r w:rsidR="00177896" w:rsidRPr="00583A03">
        <w:rPr>
          <w:bCs/>
          <w:szCs w:val="24"/>
        </w:rPr>
        <w:t>ódi</w:t>
      </w:r>
      <w:r w:rsidR="005D5493" w:rsidRPr="00583A03">
        <w:rPr>
          <w:bCs/>
          <w:szCs w:val="24"/>
        </w:rPr>
        <w:t xml:space="preserve">cas </w:t>
      </w:r>
      <w:r w:rsidR="00100EDD" w:rsidRPr="00583A03">
        <w:rPr>
          <w:bCs/>
          <w:szCs w:val="24"/>
        </w:rPr>
        <w:t>y</w:t>
      </w:r>
      <w:r w:rsidR="005D5493" w:rsidRPr="00583A03">
        <w:rPr>
          <w:bCs/>
          <w:szCs w:val="24"/>
        </w:rPr>
        <w:t xml:space="preserve"> </w:t>
      </w:r>
      <w:r w:rsidR="00177896" w:rsidRPr="00583A03">
        <w:rPr>
          <w:bCs/>
          <w:szCs w:val="24"/>
        </w:rPr>
        <w:t xml:space="preserve">los contribuyentes </w:t>
      </w:r>
      <w:r w:rsidR="00054AFF" w:rsidRPr="00583A03">
        <w:rPr>
          <w:bCs/>
          <w:szCs w:val="24"/>
        </w:rPr>
        <w:t xml:space="preserve">ejerzan así </w:t>
      </w:r>
      <w:r w:rsidR="00177896" w:rsidRPr="00583A03">
        <w:rPr>
          <w:bCs/>
          <w:szCs w:val="24"/>
        </w:rPr>
        <w:t xml:space="preserve">el mayor control posible </w:t>
      </w:r>
      <w:r w:rsidR="00C46001" w:rsidRPr="00583A03">
        <w:rPr>
          <w:bCs/>
          <w:szCs w:val="24"/>
        </w:rPr>
        <w:t>d</w:t>
      </w:r>
      <w:r w:rsidR="00177896" w:rsidRPr="00583A03">
        <w:rPr>
          <w:bCs/>
          <w:szCs w:val="24"/>
        </w:rPr>
        <w:t>el gasto público</w:t>
      </w:r>
      <w:r w:rsidR="00054AFF" w:rsidRPr="00583A03">
        <w:rPr>
          <w:bCs/>
          <w:szCs w:val="24"/>
        </w:rPr>
        <w:t xml:space="preserve">. La segunda consiste en </w:t>
      </w:r>
      <w:r w:rsidR="00F03AA8" w:rsidRPr="00583A03">
        <w:rPr>
          <w:bCs/>
          <w:szCs w:val="24"/>
        </w:rPr>
        <w:t>conceder</w:t>
      </w:r>
      <w:r w:rsidR="00054AFF" w:rsidRPr="00583A03">
        <w:rPr>
          <w:bCs/>
          <w:szCs w:val="24"/>
        </w:rPr>
        <w:t xml:space="preserve"> </w:t>
      </w:r>
      <w:r w:rsidR="002327F5" w:rsidRPr="00583A03">
        <w:rPr>
          <w:bCs/>
          <w:szCs w:val="24"/>
        </w:rPr>
        <w:t xml:space="preserve">al gobierno nacional algún poder recaudatorio </w:t>
      </w:r>
      <w:r w:rsidR="00054AFF" w:rsidRPr="00583A03">
        <w:rPr>
          <w:bCs/>
          <w:szCs w:val="24"/>
        </w:rPr>
        <w:t xml:space="preserve">e </w:t>
      </w:r>
      <w:r w:rsidR="002327F5" w:rsidRPr="00583A03">
        <w:rPr>
          <w:bCs/>
          <w:szCs w:val="24"/>
        </w:rPr>
        <w:t>incorpora</w:t>
      </w:r>
      <w:r w:rsidR="00054AFF" w:rsidRPr="00583A03">
        <w:rPr>
          <w:bCs/>
          <w:szCs w:val="24"/>
        </w:rPr>
        <w:t>r</w:t>
      </w:r>
      <w:r w:rsidR="002327F5" w:rsidRPr="00583A03">
        <w:rPr>
          <w:bCs/>
          <w:szCs w:val="24"/>
        </w:rPr>
        <w:t xml:space="preserve"> </w:t>
      </w:r>
      <w:r w:rsidR="00C474AE" w:rsidRPr="00583A03">
        <w:rPr>
          <w:bCs/>
          <w:szCs w:val="24"/>
        </w:rPr>
        <w:t>restricciones</w:t>
      </w:r>
      <w:r w:rsidR="002B7116" w:rsidRPr="00583A03">
        <w:rPr>
          <w:bCs/>
          <w:szCs w:val="24"/>
        </w:rPr>
        <w:t xml:space="preserve"> </w:t>
      </w:r>
      <w:r w:rsidR="00054AFF" w:rsidRPr="00583A03">
        <w:rPr>
          <w:bCs/>
          <w:szCs w:val="24"/>
        </w:rPr>
        <w:t>c</w:t>
      </w:r>
      <w:r w:rsidR="00C53BEC" w:rsidRPr="00583A03">
        <w:rPr>
          <w:bCs/>
          <w:szCs w:val="24"/>
        </w:rPr>
        <w:t>o</w:t>
      </w:r>
      <w:r w:rsidR="002327F5" w:rsidRPr="00583A03">
        <w:rPr>
          <w:bCs/>
          <w:szCs w:val="24"/>
        </w:rPr>
        <w:t>nstituci</w:t>
      </w:r>
      <w:r w:rsidR="00054AFF" w:rsidRPr="00583A03">
        <w:rPr>
          <w:bCs/>
          <w:szCs w:val="24"/>
        </w:rPr>
        <w:t xml:space="preserve">onales </w:t>
      </w:r>
      <w:r w:rsidR="002327F5" w:rsidRPr="00583A03">
        <w:rPr>
          <w:bCs/>
          <w:szCs w:val="24"/>
        </w:rPr>
        <w:t xml:space="preserve">sobre </w:t>
      </w:r>
      <w:r w:rsidR="00054AFF" w:rsidRPr="00583A03">
        <w:rPr>
          <w:bCs/>
          <w:szCs w:val="24"/>
        </w:rPr>
        <w:t xml:space="preserve">la clase </w:t>
      </w:r>
      <w:r w:rsidR="002327F5" w:rsidRPr="00583A03">
        <w:rPr>
          <w:bCs/>
          <w:szCs w:val="24"/>
        </w:rPr>
        <w:t>de bienes públicos que la Nación puede proveer.</w:t>
      </w:r>
    </w:p>
    <w:p w14:paraId="4E7F64BA" w14:textId="77777777" w:rsidR="00177896" w:rsidRPr="00583A03" w:rsidRDefault="00177896" w:rsidP="00297A52">
      <w:pPr>
        <w:pStyle w:val="Sangra3detindependiente"/>
        <w:spacing w:line="360" w:lineRule="auto"/>
        <w:ind w:firstLine="0"/>
        <w:rPr>
          <w:szCs w:val="24"/>
        </w:rPr>
      </w:pPr>
    </w:p>
    <w:p w14:paraId="6414F968" w14:textId="2A2D3D16" w:rsidR="00B342AF" w:rsidRDefault="00B342AF" w:rsidP="00297A52">
      <w:pPr>
        <w:pStyle w:val="Sangra3detindependiente"/>
        <w:spacing w:line="360" w:lineRule="auto"/>
        <w:ind w:firstLine="0"/>
        <w:rPr>
          <w:szCs w:val="24"/>
        </w:rPr>
      </w:pPr>
      <w:r w:rsidRPr="00583A03">
        <w:rPr>
          <w:szCs w:val="24"/>
        </w:rPr>
        <w:lastRenderedPageBreak/>
        <w:t>Palabras claves: descentralización de recaudación, ilusión fiscal, Leviatán, confederación.</w:t>
      </w:r>
    </w:p>
    <w:p w14:paraId="13B0E3E0" w14:textId="77777777" w:rsidR="00B342AF" w:rsidRPr="00177896" w:rsidRDefault="00B342AF" w:rsidP="00297A52">
      <w:pPr>
        <w:pStyle w:val="Sangra3detindependiente"/>
        <w:spacing w:line="360" w:lineRule="auto"/>
        <w:ind w:firstLine="0"/>
        <w:rPr>
          <w:szCs w:val="24"/>
        </w:rPr>
      </w:pPr>
    </w:p>
    <w:p w14:paraId="720819DA" w14:textId="1291A10E" w:rsidR="004F14D4" w:rsidRPr="00583A03" w:rsidRDefault="004F14D4" w:rsidP="00297A52">
      <w:pPr>
        <w:pStyle w:val="Sangra3detindependiente"/>
        <w:spacing w:line="360" w:lineRule="auto"/>
        <w:ind w:firstLine="0"/>
        <w:rPr>
          <w:szCs w:val="24"/>
          <w:lang w:val="en-US"/>
        </w:rPr>
      </w:pPr>
      <w:r w:rsidRPr="001A5299">
        <w:rPr>
          <w:b/>
          <w:bCs/>
          <w:szCs w:val="24"/>
          <w:lang w:val="en-US"/>
        </w:rPr>
        <w:t>Abstract</w:t>
      </w:r>
      <w:r w:rsidRPr="003514AE">
        <w:rPr>
          <w:b/>
          <w:bCs/>
          <w:szCs w:val="24"/>
          <w:lang w:val="en-US"/>
        </w:rPr>
        <w:t>:</w:t>
      </w:r>
      <w:r w:rsidRPr="003514AE">
        <w:rPr>
          <w:szCs w:val="24"/>
          <w:lang w:val="en-US"/>
        </w:rPr>
        <w:t xml:space="preserve"> The essay supp</w:t>
      </w:r>
      <w:r w:rsidRPr="00297A52">
        <w:rPr>
          <w:szCs w:val="24"/>
          <w:lang w:val="en-US"/>
        </w:rPr>
        <w:t>ort</w:t>
      </w:r>
      <w:r w:rsidR="00CF1D1D" w:rsidRPr="00297A52">
        <w:rPr>
          <w:szCs w:val="24"/>
          <w:lang w:val="en-US"/>
        </w:rPr>
        <w:t>s</w:t>
      </w:r>
      <w:r w:rsidRPr="00297A52">
        <w:rPr>
          <w:szCs w:val="24"/>
          <w:lang w:val="en-US"/>
        </w:rPr>
        <w:t xml:space="preserve"> the hypothesis that </w:t>
      </w:r>
      <w:r w:rsidR="00CF1D1D" w:rsidRPr="00297A52">
        <w:rPr>
          <w:szCs w:val="24"/>
          <w:lang w:val="en-US"/>
        </w:rPr>
        <w:t xml:space="preserve">the </w:t>
      </w:r>
      <w:r w:rsidRPr="00297A52">
        <w:rPr>
          <w:szCs w:val="24"/>
          <w:lang w:val="en-US"/>
        </w:rPr>
        <w:t xml:space="preserve">financing of provincial public spending </w:t>
      </w:r>
      <w:r w:rsidR="004237D9" w:rsidRPr="00297A52">
        <w:rPr>
          <w:szCs w:val="24"/>
          <w:lang w:val="en-US"/>
        </w:rPr>
        <w:t xml:space="preserve">through </w:t>
      </w:r>
      <w:r w:rsidRPr="00297A52">
        <w:rPr>
          <w:szCs w:val="24"/>
          <w:lang w:val="en-US"/>
        </w:rPr>
        <w:t xml:space="preserve">national transferences leads to overspending. Fiscal illusion and the Leviathan model help to explain the overspending. And cartelization of tax collection helps to explain </w:t>
      </w:r>
      <w:r w:rsidR="008B4A6C" w:rsidRPr="00297A52">
        <w:rPr>
          <w:szCs w:val="24"/>
          <w:lang w:val="en-US"/>
        </w:rPr>
        <w:t xml:space="preserve">the reason </w:t>
      </w:r>
      <w:r w:rsidRPr="00297A52">
        <w:rPr>
          <w:szCs w:val="24"/>
          <w:lang w:val="en-US"/>
        </w:rPr>
        <w:t xml:space="preserve">why governors </w:t>
      </w:r>
      <w:r w:rsidR="0001016E">
        <w:rPr>
          <w:szCs w:val="24"/>
          <w:lang w:val="en-US"/>
        </w:rPr>
        <w:t>seem</w:t>
      </w:r>
      <w:r w:rsidRPr="00297A52">
        <w:rPr>
          <w:szCs w:val="24"/>
          <w:lang w:val="en-US"/>
        </w:rPr>
        <w:t xml:space="preserve"> </w:t>
      </w:r>
      <w:r w:rsidR="00F27862" w:rsidRPr="00297A52">
        <w:rPr>
          <w:szCs w:val="24"/>
          <w:lang w:val="en-US"/>
        </w:rPr>
        <w:t>reluctant to decentrali</w:t>
      </w:r>
      <w:r w:rsidR="00C5795A" w:rsidRPr="00297A52">
        <w:rPr>
          <w:szCs w:val="24"/>
          <w:lang w:val="en-US"/>
        </w:rPr>
        <w:t>ze th</w:t>
      </w:r>
      <w:r w:rsidR="008D2046" w:rsidRPr="00297A52">
        <w:rPr>
          <w:szCs w:val="24"/>
          <w:lang w:val="en-US"/>
        </w:rPr>
        <w:t>is task</w:t>
      </w:r>
      <w:r w:rsidRPr="00297A52">
        <w:rPr>
          <w:szCs w:val="24"/>
          <w:lang w:val="en-US"/>
        </w:rPr>
        <w:t xml:space="preserve">. </w:t>
      </w:r>
      <w:r w:rsidR="008A2803" w:rsidRPr="00297A52">
        <w:rPr>
          <w:szCs w:val="24"/>
          <w:lang w:val="en-US"/>
        </w:rPr>
        <w:t xml:space="preserve">We rest on persuasive evidence and economic and politico-institutional arguments. </w:t>
      </w:r>
      <w:r w:rsidR="009623E9" w:rsidRPr="00297A52">
        <w:rPr>
          <w:szCs w:val="24"/>
          <w:lang w:val="en-US"/>
        </w:rPr>
        <w:t>Thus w</w:t>
      </w:r>
      <w:r w:rsidRPr="00297A52">
        <w:rPr>
          <w:szCs w:val="24"/>
          <w:lang w:val="en-US"/>
        </w:rPr>
        <w:t>e conclu</w:t>
      </w:r>
      <w:r w:rsidR="00D828EB" w:rsidRPr="00297A52">
        <w:rPr>
          <w:szCs w:val="24"/>
          <w:lang w:val="en-US"/>
        </w:rPr>
        <w:t xml:space="preserve">de that </w:t>
      </w:r>
      <w:r w:rsidR="006E7D6A" w:rsidRPr="00297A52">
        <w:rPr>
          <w:szCs w:val="24"/>
          <w:lang w:val="en-US"/>
        </w:rPr>
        <w:t xml:space="preserve">it would be desirable to replace the present </w:t>
      </w:r>
      <w:r w:rsidR="002F0294" w:rsidRPr="00297A52">
        <w:rPr>
          <w:szCs w:val="24"/>
          <w:lang w:val="en-US"/>
        </w:rPr>
        <w:t>relationship between the central government and the provinces</w:t>
      </w:r>
      <w:r w:rsidR="00A44BCF" w:rsidRPr="00297A52">
        <w:rPr>
          <w:szCs w:val="24"/>
          <w:lang w:val="en-US"/>
        </w:rPr>
        <w:t xml:space="preserve"> </w:t>
      </w:r>
      <w:r w:rsidR="00161925" w:rsidRPr="00297A52">
        <w:rPr>
          <w:szCs w:val="24"/>
          <w:lang w:val="en-US"/>
        </w:rPr>
        <w:t xml:space="preserve">with </w:t>
      </w:r>
      <w:r w:rsidR="00A44BCF" w:rsidRPr="00297A52">
        <w:rPr>
          <w:szCs w:val="24"/>
          <w:lang w:val="en-US"/>
        </w:rPr>
        <w:t>a confederation</w:t>
      </w:r>
      <w:r w:rsidR="006E7D6A" w:rsidRPr="00297A52">
        <w:rPr>
          <w:szCs w:val="24"/>
          <w:lang w:val="en-US"/>
        </w:rPr>
        <w:t>.</w:t>
      </w:r>
      <w:r w:rsidR="009623E9" w:rsidRPr="00297A52">
        <w:rPr>
          <w:szCs w:val="24"/>
          <w:lang w:val="en-US"/>
        </w:rPr>
        <w:t xml:space="preserve"> </w:t>
      </w:r>
      <w:r w:rsidR="00CA70E8" w:rsidRPr="00297A52">
        <w:rPr>
          <w:szCs w:val="24"/>
          <w:lang w:val="en-US"/>
        </w:rPr>
        <w:t>T</w:t>
      </w:r>
      <w:r w:rsidRPr="00297A52">
        <w:rPr>
          <w:szCs w:val="24"/>
          <w:lang w:val="en-US"/>
        </w:rPr>
        <w:t xml:space="preserve">wo ways of organizing </w:t>
      </w:r>
      <w:r w:rsidR="00521F9B" w:rsidRPr="00297A52">
        <w:rPr>
          <w:szCs w:val="24"/>
          <w:lang w:val="en-US"/>
        </w:rPr>
        <w:t>the new</w:t>
      </w:r>
      <w:r w:rsidR="0026061C" w:rsidRPr="00297A52">
        <w:rPr>
          <w:szCs w:val="24"/>
          <w:lang w:val="en-US"/>
        </w:rPr>
        <w:t xml:space="preserve"> </w:t>
      </w:r>
      <w:r w:rsidRPr="00297A52">
        <w:rPr>
          <w:szCs w:val="24"/>
          <w:lang w:val="en-US"/>
        </w:rPr>
        <w:t>relation</w:t>
      </w:r>
      <w:r w:rsidR="008D2046" w:rsidRPr="00297A52">
        <w:rPr>
          <w:szCs w:val="24"/>
          <w:lang w:val="en-US"/>
        </w:rPr>
        <w:t>ship</w:t>
      </w:r>
      <w:r w:rsidRPr="00297A52">
        <w:rPr>
          <w:szCs w:val="24"/>
          <w:lang w:val="en-US"/>
        </w:rPr>
        <w:t xml:space="preserve"> </w:t>
      </w:r>
      <w:r w:rsidR="00CA70E8" w:rsidRPr="00297A52">
        <w:rPr>
          <w:szCs w:val="24"/>
          <w:lang w:val="en-US"/>
        </w:rPr>
        <w:t>are considered.</w:t>
      </w:r>
      <w:r w:rsidRPr="00297A52">
        <w:rPr>
          <w:szCs w:val="24"/>
          <w:lang w:val="en-US"/>
        </w:rPr>
        <w:t xml:space="preserve"> </w:t>
      </w:r>
      <w:r w:rsidRPr="00583A03">
        <w:rPr>
          <w:szCs w:val="24"/>
          <w:lang w:val="en-US"/>
        </w:rPr>
        <w:t xml:space="preserve">One way consists of paying for national spending by periodic provincial transferences; control of public spending by tax-payers would be the greatest possible in this scenario. Another way consists of allowing the </w:t>
      </w:r>
      <w:r w:rsidR="004E0604" w:rsidRPr="00583A03">
        <w:rPr>
          <w:szCs w:val="24"/>
          <w:lang w:val="en-US"/>
        </w:rPr>
        <w:t>central government</w:t>
      </w:r>
      <w:r w:rsidRPr="00583A03">
        <w:rPr>
          <w:szCs w:val="24"/>
          <w:lang w:val="en-US"/>
        </w:rPr>
        <w:t xml:space="preserve"> some taxing power </w:t>
      </w:r>
      <w:r w:rsidR="004E0604" w:rsidRPr="00583A03">
        <w:rPr>
          <w:szCs w:val="24"/>
          <w:lang w:val="en-US"/>
        </w:rPr>
        <w:t xml:space="preserve">and </w:t>
      </w:r>
      <w:r w:rsidRPr="00583A03">
        <w:rPr>
          <w:szCs w:val="24"/>
          <w:lang w:val="en-US"/>
        </w:rPr>
        <w:t xml:space="preserve">incorporating constitutional restrictions </w:t>
      </w:r>
      <w:r w:rsidR="005B3544" w:rsidRPr="00583A03">
        <w:rPr>
          <w:szCs w:val="24"/>
          <w:lang w:val="en-US"/>
        </w:rPr>
        <w:t xml:space="preserve">as regards </w:t>
      </w:r>
      <w:r w:rsidRPr="00583A03">
        <w:rPr>
          <w:szCs w:val="24"/>
          <w:lang w:val="en-US"/>
        </w:rPr>
        <w:t xml:space="preserve">the </w:t>
      </w:r>
      <w:r w:rsidR="004E0604" w:rsidRPr="00583A03">
        <w:rPr>
          <w:szCs w:val="24"/>
          <w:lang w:val="en-US"/>
        </w:rPr>
        <w:t>type</w:t>
      </w:r>
      <w:r w:rsidRPr="00583A03">
        <w:rPr>
          <w:szCs w:val="24"/>
          <w:lang w:val="en-US"/>
        </w:rPr>
        <w:t xml:space="preserve"> of public goods the </w:t>
      </w:r>
      <w:r w:rsidR="00592584" w:rsidRPr="00583A03">
        <w:rPr>
          <w:szCs w:val="24"/>
          <w:lang w:val="en-US"/>
        </w:rPr>
        <w:t>central</w:t>
      </w:r>
      <w:r w:rsidRPr="00583A03">
        <w:rPr>
          <w:szCs w:val="24"/>
          <w:lang w:val="en-US"/>
        </w:rPr>
        <w:t xml:space="preserve"> government is </w:t>
      </w:r>
      <w:r w:rsidR="005B3544" w:rsidRPr="00583A03">
        <w:rPr>
          <w:szCs w:val="24"/>
          <w:lang w:val="en-US"/>
        </w:rPr>
        <w:t xml:space="preserve">allowed to </w:t>
      </w:r>
      <w:r w:rsidRPr="00583A03">
        <w:rPr>
          <w:szCs w:val="24"/>
          <w:lang w:val="en-US"/>
        </w:rPr>
        <w:t>provide.</w:t>
      </w:r>
    </w:p>
    <w:p w14:paraId="3BD4AC2B" w14:textId="77777777" w:rsidR="004F14D4" w:rsidRPr="00583A03" w:rsidRDefault="004F14D4" w:rsidP="00297A52">
      <w:pPr>
        <w:pStyle w:val="Sangra3detindependiente"/>
        <w:spacing w:line="360" w:lineRule="auto"/>
        <w:rPr>
          <w:szCs w:val="24"/>
          <w:lang w:val="en-US"/>
        </w:rPr>
      </w:pPr>
    </w:p>
    <w:p w14:paraId="156E4B6A" w14:textId="07C121BE" w:rsidR="00F12866" w:rsidRPr="00297A52" w:rsidRDefault="00291656" w:rsidP="00297A52">
      <w:pPr>
        <w:pStyle w:val="Sangra3detindependiente"/>
        <w:spacing w:line="360" w:lineRule="auto"/>
        <w:ind w:firstLine="0"/>
        <w:rPr>
          <w:szCs w:val="24"/>
          <w:lang w:val="en-US"/>
        </w:rPr>
      </w:pPr>
      <w:r w:rsidRPr="00583A03">
        <w:rPr>
          <w:szCs w:val="24"/>
          <w:lang w:val="en-US"/>
        </w:rPr>
        <w:t xml:space="preserve">Key words: </w:t>
      </w:r>
      <w:r w:rsidR="00B342AF" w:rsidRPr="00583A03">
        <w:rPr>
          <w:szCs w:val="24"/>
          <w:lang w:val="en-US"/>
        </w:rPr>
        <w:t>tax-collection decentralization, fiscal illusion, Leviathan, confederation.</w:t>
      </w:r>
    </w:p>
    <w:p w14:paraId="2C7AD97C" w14:textId="77777777" w:rsidR="00291C60" w:rsidRPr="00291C60" w:rsidRDefault="00291C60" w:rsidP="00297A52">
      <w:pPr>
        <w:pStyle w:val="Sangra3detindependiente"/>
        <w:spacing w:line="360" w:lineRule="auto"/>
        <w:ind w:firstLine="0"/>
        <w:rPr>
          <w:szCs w:val="24"/>
          <w:lang w:val="en-US"/>
        </w:rPr>
      </w:pPr>
    </w:p>
    <w:p w14:paraId="434FCEB1" w14:textId="77777777" w:rsidR="004F14D4" w:rsidRPr="00297A52" w:rsidRDefault="00030313" w:rsidP="00297A52">
      <w:pPr>
        <w:pStyle w:val="Sangra3detindependiente"/>
        <w:spacing w:line="360" w:lineRule="auto"/>
        <w:ind w:firstLine="0"/>
        <w:rPr>
          <w:szCs w:val="24"/>
        </w:rPr>
      </w:pPr>
      <w:r w:rsidRPr="00297A52">
        <w:rPr>
          <w:szCs w:val="24"/>
        </w:rPr>
        <w:t xml:space="preserve">JEL </w:t>
      </w:r>
      <w:r w:rsidR="008F3CEE" w:rsidRPr="00297A52">
        <w:rPr>
          <w:szCs w:val="24"/>
          <w:lang w:val="af-ZA"/>
        </w:rPr>
        <w:t>Classification</w:t>
      </w:r>
      <w:r w:rsidR="008F3CEE" w:rsidRPr="00297A52">
        <w:rPr>
          <w:szCs w:val="24"/>
        </w:rPr>
        <w:t xml:space="preserve"> </w:t>
      </w:r>
      <w:r w:rsidR="008F3CEE" w:rsidRPr="00297A52">
        <w:rPr>
          <w:szCs w:val="24"/>
          <w:lang w:val="af-ZA"/>
        </w:rPr>
        <w:t>C</w:t>
      </w:r>
      <w:r w:rsidRPr="00297A52">
        <w:rPr>
          <w:szCs w:val="24"/>
          <w:lang w:val="af-ZA"/>
        </w:rPr>
        <w:t>ode</w:t>
      </w:r>
      <w:r w:rsidRPr="00297A52">
        <w:rPr>
          <w:szCs w:val="24"/>
        </w:rPr>
        <w:t xml:space="preserve">: </w:t>
      </w:r>
      <w:r w:rsidR="00CF7019" w:rsidRPr="00297A52">
        <w:rPr>
          <w:szCs w:val="24"/>
        </w:rPr>
        <w:t>H77</w:t>
      </w:r>
    </w:p>
    <w:p w14:paraId="4BCAF37D" w14:textId="7EAFA399" w:rsidR="004F14D4" w:rsidRDefault="004F14D4" w:rsidP="00297A52">
      <w:pPr>
        <w:pStyle w:val="Sangra3detindependiente"/>
        <w:spacing w:line="360" w:lineRule="auto"/>
        <w:rPr>
          <w:szCs w:val="24"/>
          <w:lang w:val="en-US"/>
        </w:rPr>
      </w:pPr>
    </w:p>
    <w:p w14:paraId="3324326C" w14:textId="77A9816E" w:rsidR="001A5299" w:rsidRDefault="001A5299" w:rsidP="001A5299">
      <w:pPr>
        <w:pStyle w:val="Sangra3detindependiente"/>
        <w:spacing w:line="360" w:lineRule="auto"/>
        <w:ind w:firstLine="0"/>
        <w:rPr>
          <w:szCs w:val="24"/>
          <w:lang w:val="en-US"/>
        </w:rPr>
      </w:pPr>
    </w:p>
    <w:p w14:paraId="65549AD9" w14:textId="77777777" w:rsidR="0069201B" w:rsidRPr="008D2464" w:rsidRDefault="0069201B" w:rsidP="00297A52">
      <w:pPr>
        <w:pStyle w:val="Sangra3detindependiente"/>
        <w:spacing w:line="360" w:lineRule="auto"/>
        <w:ind w:firstLine="0"/>
        <w:rPr>
          <w:szCs w:val="24"/>
          <w:lang w:val="en-US"/>
        </w:rPr>
      </w:pPr>
    </w:p>
    <w:p w14:paraId="3575FA6F" w14:textId="77777777" w:rsidR="00297A52" w:rsidRPr="008D2464" w:rsidRDefault="00297A52" w:rsidP="00297A52">
      <w:pPr>
        <w:pStyle w:val="Listaconvietas"/>
        <w:numPr>
          <w:ilvl w:val="0"/>
          <w:numId w:val="0"/>
        </w:numPr>
        <w:spacing w:line="360" w:lineRule="auto"/>
        <w:rPr>
          <w:u w:val="single"/>
          <w:lang w:val="en-US"/>
        </w:rPr>
      </w:pPr>
    </w:p>
    <w:p w14:paraId="5D721662" w14:textId="77777777" w:rsidR="007629A6" w:rsidRPr="008D2464" w:rsidRDefault="007629A6">
      <w:pPr>
        <w:rPr>
          <w:sz w:val="24"/>
          <w:szCs w:val="24"/>
          <w:u w:val="single"/>
        </w:rPr>
      </w:pPr>
      <w:r w:rsidRPr="008D2464">
        <w:rPr>
          <w:u w:val="single"/>
        </w:rPr>
        <w:br w:type="page"/>
      </w:r>
    </w:p>
    <w:p w14:paraId="5AF7CF03" w14:textId="77777777" w:rsidR="00882603" w:rsidRDefault="00882603" w:rsidP="00297A52">
      <w:pPr>
        <w:pStyle w:val="Listaconvietas"/>
        <w:numPr>
          <w:ilvl w:val="0"/>
          <w:numId w:val="0"/>
        </w:numPr>
        <w:spacing w:line="360" w:lineRule="auto"/>
        <w:rPr>
          <w:b/>
          <w:bCs/>
        </w:rPr>
      </w:pPr>
    </w:p>
    <w:p w14:paraId="4C673E29" w14:textId="778240AB" w:rsidR="00DF73B1" w:rsidRPr="001A5299" w:rsidRDefault="00DF73B1" w:rsidP="00297A52">
      <w:pPr>
        <w:pStyle w:val="Listaconvietas"/>
        <w:numPr>
          <w:ilvl w:val="0"/>
          <w:numId w:val="0"/>
        </w:numPr>
        <w:spacing w:line="360" w:lineRule="auto"/>
        <w:rPr>
          <w:b/>
          <w:bCs/>
        </w:rPr>
      </w:pPr>
      <w:r w:rsidRPr="001A5299">
        <w:rPr>
          <w:b/>
          <w:bCs/>
        </w:rPr>
        <w:t>Introducción</w:t>
      </w:r>
    </w:p>
    <w:p w14:paraId="2FC887E2" w14:textId="77777777" w:rsidR="00DF73B1" w:rsidRPr="00297A52" w:rsidRDefault="00DF73B1" w:rsidP="00297A52">
      <w:pPr>
        <w:pStyle w:val="Sangradetextonormal"/>
        <w:spacing w:line="360" w:lineRule="auto"/>
        <w:ind w:firstLine="0"/>
        <w:rPr>
          <w:szCs w:val="24"/>
        </w:rPr>
      </w:pPr>
    </w:p>
    <w:p w14:paraId="3B11AC8A" w14:textId="7A1E94DF" w:rsidR="00DF73B1" w:rsidRDefault="00DF73B1" w:rsidP="00297A52">
      <w:pPr>
        <w:pStyle w:val="Listaconvietas"/>
        <w:numPr>
          <w:ilvl w:val="0"/>
          <w:numId w:val="0"/>
        </w:numPr>
        <w:spacing w:line="360" w:lineRule="auto"/>
        <w:jc w:val="both"/>
      </w:pPr>
      <w:r w:rsidRPr="00297A52">
        <w:t>Con la colaboración de un grupo de economistas fiscales y un abogado constitucionalista, y el financiamiento del Consejo Empr</w:t>
      </w:r>
      <w:r w:rsidR="00250717" w:rsidRPr="00297A52">
        <w:t>esario Argentino, escribí hace 2</w:t>
      </w:r>
      <w:r w:rsidRPr="00297A52">
        <w:t xml:space="preserve">0 años una propuesta de completa descentralización tributaria. La propuesta tomó forma de libro (CEA 2000) y tuvo buena difusión. Durante el intenso período de preparación y en las numerosas exposiciones de la propuesta que siguieron, recibí una cantidad de generosas observaciones. En especial, recuerdo una de H. Magnetto (Clarín) y otra de M. Gallacher y J. Streb (UCEMA). Como la descentralización le pone freno efectivo al gasto público provincial, el primero quería saber qué institución se lo pondría al gasto público nacional. Los segundos, a su vez, pedían una prueba lógica de que el gasto público provincial financiado con transferencias nacionales es ineficiente. Argumentaban que como el gobernador es quien lo fija y dado que él representa el interés del electorado provincial, el gasto público de la jurisdicción debía ser eficiente en principio, con independencia de la importancia del financiamiento nacional. Años después, en conversación con M. Salinardi (ex economista de la Secretaría de Hacienda), comenté mi intención de publicar un extracto de dicho trabajo como capítulo de un libro destinado a pensar instituciones que fueran capaces de restringir el populismo económico característico de sucesivos gobiernos nacionales. En lugar de preparar un extracto, Salinardi me sugirió escribir </w:t>
      </w:r>
      <w:r w:rsidR="00F115F8" w:rsidRPr="00297A52">
        <w:t>algo nuevo.</w:t>
      </w:r>
    </w:p>
    <w:p w14:paraId="1C0ECD18" w14:textId="77777777" w:rsidR="00B00DA8" w:rsidRDefault="00B00DA8" w:rsidP="00B00DA8">
      <w:pPr>
        <w:pStyle w:val="Listaconvietas"/>
        <w:numPr>
          <w:ilvl w:val="0"/>
          <w:numId w:val="0"/>
        </w:numPr>
        <w:spacing w:line="360" w:lineRule="auto"/>
        <w:jc w:val="both"/>
      </w:pPr>
    </w:p>
    <w:p w14:paraId="3014EFE4" w14:textId="41D4CED0" w:rsidR="00DF73B1" w:rsidRPr="00297A52" w:rsidRDefault="00DF73B1" w:rsidP="00B00DA8">
      <w:pPr>
        <w:pStyle w:val="Listaconvietas"/>
        <w:numPr>
          <w:ilvl w:val="0"/>
          <w:numId w:val="0"/>
        </w:numPr>
        <w:spacing w:line="360" w:lineRule="auto"/>
        <w:jc w:val="both"/>
      </w:pPr>
      <w:r w:rsidRPr="00297A52">
        <w:t xml:space="preserve">El propósito del </w:t>
      </w:r>
      <w:r w:rsidR="008436EF" w:rsidRPr="00297A52">
        <w:t>ensayo</w:t>
      </w:r>
      <w:r w:rsidRPr="00297A52">
        <w:t xml:space="preserve"> es contes</w:t>
      </w:r>
      <w:r w:rsidR="00590196" w:rsidRPr="00297A52">
        <w:t>tar los referidos interrogantes</w:t>
      </w:r>
      <w:r w:rsidRPr="00297A52">
        <w:t xml:space="preserve"> y</w:t>
      </w:r>
      <w:r w:rsidR="00590196" w:rsidRPr="00297A52">
        <w:t>,</w:t>
      </w:r>
      <w:r w:rsidRPr="00297A52">
        <w:t xml:space="preserve"> de esta </w:t>
      </w:r>
      <w:r w:rsidR="00590196" w:rsidRPr="00297A52">
        <w:t>manera,</w:t>
      </w:r>
      <w:r w:rsidRPr="00297A52">
        <w:t xml:space="preserve"> dotar a la propuesta de mejor fundamentación económica y político-institucional. La propuesta sigue siendo la misma: que la Nación devuelva las potestades impositivas a las provincias. Con un cambio significativo: </w:t>
      </w:r>
      <w:r w:rsidR="00590196" w:rsidRPr="00297A52">
        <w:t>ahora</w:t>
      </w:r>
      <w:r w:rsidRPr="00297A52">
        <w:t xml:space="preserve"> prescinde de un sistema de transferencias horizontales por equidad.</w:t>
      </w:r>
    </w:p>
    <w:p w14:paraId="473C52ED" w14:textId="77777777" w:rsidR="00B00DA8" w:rsidRDefault="00B00DA8" w:rsidP="00B00DA8">
      <w:pPr>
        <w:pStyle w:val="Listaconvietas"/>
        <w:numPr>
          <w:ilvl w:val="0"/>
          <w:numId w:val="0"/>
        </w:numPr>
        <w:spacing w:line="360" w:lineRule="auto"/>
        <w:jc w:val="both"/>
      </w:pPr>
    </w:p>
    <w:p w14:paraId="2E43DBCA" w14:textId="70462264" w:rsidR="00DF73B1" w:rsidRDefault="00DF73B1" w:rsidP="00B00DA8">
      <w:pPr>
        <w:pStyle w:val="Listaconvietas"/>
        <w:numPr>
          <w:ilvl w:val="0"/>
          <w:numId w:val="0"/>
        </w:numPr>
        <w:spacing w:line="360" w:lineRule="auto"/>
        <w:jc w:val="both"/>
      </w:pPr>
      <w:r w:rsidRPr="00297A52">
        <w:t xml:space="preserve">La primera sección sintetiza los antecedentes históricos del federalismo fiscal argentino. Informa sobre el aumento de la fracción del gasto provincial financiada con transferencias de la Nación y la degeneración de las relaciones financieras entre la Nación y las provincias en un laberinto fiscal. La segunda sección provee fundamento económico a la hipótesis de que </w:t>
      </w:r>
      <w:r w:rsidRPr="00297A52">
        <w:lastRenderedPageBreak/>
        <w:t>el fondo común (coparticipación federal de impuestos, otros regímenes paralelos menos importantes, pre-coparticipaciones y aportes del Tesoro de la Nación) conduce a una sobre-expansión del gasto provincial. La tercera sección pregunta por qué razón los gobernadores, que cedieron el poder tributario y el político a la Nación, son reacios a la devolución de las facultades recaudatorias, y concluye que los gobernadores tienen incentivos para formar un cartel y suprimir la competencia impositiva interprovincial. La cuarta sección considera las posibilidades de fraccionar el poder recaudatorio nacional, adoptando a tal fin un sistema de expensas comunes o uno de separación de fuentes, y de evitar la ineficiencia inherente a las transferencias de igualación de capacidades fiscales, más allá de la inviabilidad política de las mismas en un sistema competitivo de imposición provincial. La quinta sección resume las conclusiones, que son tres: el fondo común conduce a un despilfarro de recursos; está sostenido por una corporación de gobernadores que busca uniformar la imposición en las provincias para maximizar la recaudación, y el fraccionamiento del poder de recaudar es deseable tanto por motivos económicos como políticos.</w:t>
      </w:r>
    </w:p>
    <w:p w14:paraId="0D805449" w14:textId="77777777" w:rsidR="00B00DA8" w:rsidRDefault="00B00DA8" w:rsidP="00B00DA8">
      <w:pPr>
        <w:pStyle w:val="Listaconvietas"/>
        <w:numPr>
          <w:ilvl w:val="0"/>
          <w:numId w:val="0"/>
        </w:numPr>
        <w:spacing w:line="360" w:lineRule="auto"/>
        <w:jc w:val="both"/>
      </w:pPr>
    </w:p>
    <w:p w14:paraId="7C53A5AD" w14:textId="641B7C66" w:rsidR="00DF73B1" w:rsidRPr="00297A52" w:rsidRDefault="00DF73B1" w:rsidP="00B00DA8">
      <w:pPr>
        <w:pStyle w:val="Listaconvietas"/>
        <w:numPr>
          <w:ilvl w:val="0"/>
          <w:numId w:val="0"/>
        </w:numPr>
        <w:spacing w:line="360" w:lineRule="auto"/>
        <w:jc w:val="both"/>
      </w:pPr>
      <w:r w:rsidRPr="00297A52">
        <w:t>En resumen, encontramos fundamento económico y político-institucional para sugerir la conveniencia de una organización fiscal semejante a la de una confederación de pequeñas repúblicas provinciales. Presumimos que 24 pequeños populismos provinciales son mejores que un gran populismo nacional, pues abren al contribuyente local la posibilidad de emigrar a bajo costo a otra jurisdicción.</w:t>
      </w:r>
    </w:p>
    <w:p w14:paraId="3007E120" w14:textId="77777777" w:rsidR="00DF73B1" w:rsidRPr="00297A52" w:rsidRDefault="00DF73B1" w:rsidP="00297A52">
      <w:pPr>
        <w:pStyle w:val="Listaconvietas"/>
        <w:numPr>
          <w:ilvl w:val="0"/>
          <w:numId w:val="0"/>
        </w:numPr>
        <w:spacing w:line="360" w:lineRule="auto"/>
        <w:jc w:val="both"/>
      </w:pPr>
    </w:p>
    <w:p w14:paraId="70EB7398" w14:textId="3F626745" w:rsidR="00DF73B1" w:rsidRPr="001A5299" w:rsidRDefault="00DF73B1" w:rsidP="001A5299">
      <w:pPr>
        <w:pStyle w:val="Listaconvietas"/>
        <w:numPr>
          <w:ilvl w:val="0"/>
          <w:numId w:val="0"/>
        </w:numPr>
        <w:spacing w:line="360" w:lineRule="auto"/>
        <w:jc w:val="both"/>
        <w:rPr>
          <w:b/>
          <w:bCs/>
        </w:rPr>
      </w:pPr>
      <w:r w:rsidRPr="00B00DA8">
        <w:rPr>
          <w:b/>
          <w:bCs/>
          <w:lang w:val="af-ZA"/>
        </w:rPr>
        <w:t>I</w:t>
      </w:r>
      <w:r w:rsidRPr="00B00DA8">
        <w:rPr>
          <w:b/>
          <w:bCs/>
        </w:rPr>
        <w:t xml:space="preserve">. </w:t>
      </w:r>
      <w:r w:rsidRPr="001A5299">
        <w:rPr>
          <w:b/>
          <w:bCs/>
        </w:rPr>
        <w:t>Antecedentes históricos</w:t>
      </w:r>
    </w:p>
    <w:p w14:paraId="13BE922C" w14:textId="77777777" w:rsidR="00DF73B1" w:rsidRPr="00B00DA8" w:rsidRDefault="00DF73B1" w:rsidP="00297A52">
      <w:pPr>
        <w:pStyle w:val="Sangradetextonormal"/>
        <w:spacing w:line="360" w:lineRule="auto"/>
        <w:ind w:firstLine="0"/>
        <w:rPr>
          <w:b/>
          <w:bCs/>
          <w:iCs/>
          <w:szCs w:val="24"/>
        </w:rPr>
      </w:pPr>
      <w:r w:rsidRPr="00B00DA8">
        <w:rPr>
          <w:b/>
          <w:bCs/>
          <w:iCs/>
          <w:szCs w:val="24"/>
        </w:rPr>
        <w:t>Separación de fuentes</w:t>
      </w:r>
    </w:p>
    <w:p w14:paraId="10FA5085" w14:textId="77777777" w:rsidR="00DF73B1" w:rsidRPr="00297A52" w:rsidRDefault="00DF73B1" w:rsidP="00297A52">
      <w:pPr>
        <w:pStyle w:val="Sangradetextonormal"/>
        <w:spacing w:line="360" w:lineRule="auto"/>
        <w:ind w:firstLine="0"/>
        <w:rPr>
          <w:szCs w:val="24"/>
        </w:rPr>
      </w:pPr>
    </w:p>
    <w:p w14:paraId="6DEFAA12" w14:textId="0F2E3855" w:rsidR="00DF73B1" w:rsidRDefault="00DF73B1" w:rsidP="00297A52">
      <w:pPr>
        <w:pStyle w:val="Sangradetextonormal"/>
        <w:spacing w:line="360" w:lineRule="auto"/>
        <w:ind w:firstLine="0"/>
        <w:rPr>
          <w:szCs w:val="24"/>
        </w:rPr>
      </w:pPr>
      <w:r w:rsidRPr="00297A52">
        <w:rPr>
          <w:szCs w:val="24"/>
        </w:rPr>
        <w:t>La Constitución de 1853 sancionó una clara estructura de imputabilidad fiscal fundada en el criterio de separación de fuentes. Esto significa que las bases imponibles de la Nación y de las provincias eran distintas y que la Nación y las provincias debían ocuparse, cada una por su cuenta, de recaudar los impuestos necesarios para financiar sus gastos. En otras palabras, la autoridad que gastaba era la misma que recaudaba. Había correspondencia fiscal.</w:t>
      </w:r>
    </w:p>
    <w:p w14:paraId="6B7C87DB" w14:textId="77777777" w:rsidR="00B00DA8" w:rsidRDefault="00B00DA8" w:rsidP="00B00DA8">
      <w:pPr>
        <w:pStyle w:val="Sangradetextonormal"/>
        <w:spacing w:line="360" w:lineRule="auto"/>
        <w:ind w:firstLine="0"/>
        <w:rPr>
          <w:szCs w:val="24"/>
        </w:rPr>
      </w:pPr>
    </w:p>
    <w:p w14:paraId="1E5C77BE" w14:textId="0ED06342" w:rsidR="00DF73B1" w:rsidRPr="00297A52" w:rsidRDefault="00DF73B1" w:rsidP="00B00DA8">
      <w:pPr>
        <w:pStyle w:val="Sangradetextonormal"/>
        <w:spacing w:line="360" w:lineRule="auto"/>
        <w:ind w:firstLine="0"/>
        <w:rPr>
          <w:szCs w:val="24"/>
        </w:rPr>
      </w:pPr>
      <w:r w:rsidRPr="00297A52">
        <w:rPr>
          <w:szCs w:val="24"/>
        </w:rPr>
        <w:lastRenderedPageBreak/>
        <w:t>En el período 1853-1890, la Nación cubría sus gastos con impuestos sobre el comercio exterior e impuestos internos recaudados en la Capital Federal y los territorios nacionales, salvo circunstancias extraordinarias en las que se le permitía extender la recaudación de los impuestos internos a las provincias por un tiempo determinado. Las provincias recaudaban, a su vez, impuestos sobre la propiedad y ciertos consumos. El gasto público consolidado no llegaba a 10% del PBI y el gasto provincial era inferior a un tercio de aquél. Los gobiernos provinciales gozaban de marcada autonomía puesto que apenas un 5% de sus erogaciones se financiaba con transferencias nacionales. (Porto 1990, 93-96; FIEL 1993, 135-136.)</w:t>
      </w:r>
    </w:p>
    <w:p w14:paraId="5C6A6999" w14:textId="77777777" w:rsidR="00DF73B1" w:rsidRPr="00297A52" w:rsidRDefault="00DF73B1" w:rsidP="00297A52">
      <w:pPr>
        <w:pStyle w:val="Sangradetextonormal"/>
        <w:spacing w:line="360" w:lineRule="auto"/>
        <w:ind w:firstLine="0"/>
        <w:rPr>
          <w:szCs w:val="24"/>
        </w:rPr>
      </w:pPr>
    </w:p>
    <w:p w14:paraId="7961E78C" w14:textId="77777777" w:rsidR="00DF73B1" w:rsidRPr="00B00DA8" w:rsidRDefault="00DF73B1" w:rsidP="00297A52">
      <w:pPr>
        <w:pStyle w:val="Sangradetextonormal"/>
        <w:spacing w:line="360" w:lineRule="auto"/>
        <w:ind w:firstLine="0"/>
        <w:rPr>
          <w:b/>
          <w:bCs/>
          <w:iCs/>
          <w:szCs w:val="24"/>
        </w:rPr>
      </w:pPr>
      <w:r w:rsidRPr="00B00DA8">
        <w:rPr>
          <w:b/>
          <w:bCs/>
          <w:iCs/>
          <w:szCs w:val="24"/>
        </w:rPr>
        <w:t>La Nación expande su base imponible</w:t>
      </w:r>
    </w:p>
    <w:p w14:paraId="5423A3B9" w14:textId="77777777" w:rsidR="00B00DA8" w:rsidRDefault="00B00DA8" w:rsidP="00B00DA8">
      <w:pPr>
        <w:pStyle w:val="Sangradetextonormal"/>
        <w:spacing w:line="360" w:lineRule="auto"/>
        <w:ind w:firstLine="0"/>
        <w:rPr>
          <w:szCs w:val="24"/>
        </w:rPr>
      </w:pPr>
    </w:p>
    <w:p w14:paraId="6FF606DA" w14:textId="2374D532" w:rsidR="00DF73B1" w:rsidRPr="00297A52" w:rsidRDefault="00DF73B1" w:rsidP="00B00DA8">
      <w:pPr>
        <w:pStyle w:val="Sangradetextonormal"/>
        <w:spacing w:line="360" w:lineRule="auto"/>
        <w:ind w:firstLine="0"/>
        <w:rPr>
          <w:szCs w:val="24"/>
        </w:rPr>
      </w:pPr>
      <w:r w:rsidRPr="00297A52">
        <w:rPr>
          <w:szCs w:val="24"/>
        </w:rPr>
        <w:t xml:space="preserve">La crisis fiscal asociada al pánico </w:t>
      </w:r>
      <w:r w:rsidRPr="00297A52">
        <w:rPr>
          <w:szCs w:val="24"/>
          <w:lang w:val="af-ZA"/>
        </w:rPr>
        <w:t>Baring</w:t>
      </w:r>
      <w:r w:rsidRPr="00297A52">
        <w:rPr>
          <w:szCs w:val="24"/>
        </w:rPr>
        <w:t xml:space="preserve"> en 1890 demostró la vulnerabilidad de la base de imposición externa que se había reservado a la Nación, e incentivó el primer debate sobre federalismo tributario posterior a la sanción de la Constitución. El punto en cuestión era si había alguna restricción constitucional que impidiera a la Nación recaudar impuestos internos en todo el territorio del país de modo permanente. Se impuso la tesis del ministro de Hacienda Vicente F. López, que sostenía que el texto constitucional no tenía objeciones sobre la materia. Las provincias aceptaron conceder a la Nación el derecho con la condición de que fuera renovado anualmente. Desde entonces rigió una relación distinta entre ambos niveles de gobierno. Las transferencias nacionales pasaron a financiar un 6.5% del gasto provincial en 1900 y un 11.5% en 1910. De esta forma, por medio de canales de devolución y redistribución ad-hoc, la Nación retribuía el derecho concedido por las provincias. El estado de situación descripto se mantuvo sin grandes variantes hasta comienzos de la década de 1930 (FIEL op. cit., 137).</w:t>
      </w:r>
    </w:p>
    <w:p w14:paraId="4C71BC66" w14:textId="77777777" w:rsidR="00DF73B1" w:rsidRPr="00297A52" w:rsidRDefault="00DF73B1" w:rsidP="00297A52">
      <w:pPr>
        <w:pStyle w:val="Sangradetextonormal"/>
        <w:spacing w:line="360" w:lineRule="auto"/>
        <w:ind w:firstLine="0"/>
        <w:rPr>
          <w:szCs w:val="24"/>
        </w:rPr>
      </w:pPr>
    </w:p>
    <w:p w14:paraId="425581C7" w14:textId="77777777" w:rsidR="00DF73B1" w:rsidRPr="00B00DA8" w:rsidRDefault="00DF73B1" w:rsidP="00297A52">
      <w:pPr>
        <w:pStyle w:val="Sangradetextonormal"/>
        <w:spacing w:line="360" w:lineRule="auto"/>
        <w:ind w:firstLine="0"/>
        <w:rPr>
          <w:b/>
          <w:bCs/>
          <w:iCs/>
          <w:szCs w:val="24"/>
        </w:rPr>
      </w:pPr>
      <w:r w:rsidRPr="00B00DA8">
        <w:rPr>
          <w:b/>
          <w:bCs/>
          <w:iCs/>
          <w:szCs w:val="24"/>
        </w:rPr>
        <w:t>Orígenes del fondo común</w:t>
      </w:r>
    </w:p>
    <w:p w14:paraId="7C1812B5" w14:textId="77777777" w:rsidR="00B00DA8" w:rsidRDefault="00B00DA8" w:rsidP="00B00DA8">
      <w:pPr>
        <w:pStyle w:val="Sangradetextonormal"/>
        <w:spacing w:line="360" w:lineRule="auto"/>
        <w:ind w:firstLine="0"/>
        <w:rPr>
          <w:szCs w:val="24"/>
        </w:rPr>
      </w:pPr>
    </w:p>
    <w:p w14:paraId="40F2EC1F" w14:textId="764CD1C3" w:rsidR="00DF73B1" w:rsidRPr="00297A52" w:rsidRDefault="00DF73B1" w:rsidP="00B00DA8">
      <w:pPr>
        <w:pStyle w:val="Sangradetextonormal"/>
        <w:spacing w:line="360" w:lineRule="auto"/>
        <w:ind w:firstLine="0"/>
        <w:rPr>
          <w:szCs w:val="24"/>
        </w:rPr>
      </w:pPr>
      <w:r w:rsidRPr="00297A52">
        <w:rPr>
          <w:szCs w:val="24"/>
        </w:rPr>
        <w:t xml:space="preserve">En 1935 el Congreso aprobó un conjunto de importantes leyes que reestructuraron el sistema tributario nacional. Por una parte, la ley de unificación de los impuestos internos dispuso que el gobierno nacional recaudara los impuestos y que los distribuyera por medio de un régimen de coparticipación. Las provincias recibirían su parte en tanto y en cuanto eliminaran sus </w:t>
      </w:r>
      <w:r w:rsidRPr="00297A52">
        <w:rPr>
          <w:szCs w:val="24"/>
        </w:rPr>
        <w:lastRenderedPageBreak/>
        <w:t>propios impuestos internos o aquellos tributos similares a los que la Nación iba a recaudar. El porcentaje de la recaudación nacional que se iba a girar a cada provincia era igual al peso que había tenido la recaudación de la provincia en la recaudación global de impuestos internos en años previos. Por otra parte, se creó el impuesto a las ventas sobre la base de un impuesto a las transacciones de 1931, y se ratificó el impuesto a los réditos de 1932. Este par de gravámenes también quedó sujeto a coparticipación federal. El segundo régimen de coparticipación retenía el 82.5% de la recaudación para la Nación y transfería el 17.5% restante a las provincias, que entonces eran 14, y a la MCBA. La distribución entre las provincias de la parte que les correspondía (distribución secundaria) se efectuaba según ponderadores calculados de esta manera: 10% en función de la recaudación que la Nación obtuviera en cada provincia, 30% en función de la recaudación provincial, 30% en función del gasto provincial y 30% en función de la población provincial. El nuevo federalismo fiscal así surgido aumentó a 29%, ya en 1939, la fracción del gasto provincial financiada con transferencias nacionales (</w:t>
      </w:r>
      <w:r w:rsidRPr="00297A52">
        <w:rPr>
          <w:szCs w:val="24"/>
          <w:lang w:val="af-ZA"/>
        </w:rPr>
        <w:t>ibíd.</w:t>
      </w:r>
      <w:r w:rsidRPr="00297A52">
        <w:rPr>
          <w:szCs w:val="24"/>
        </w:rPr>
        <w:t>, 138-139).</w:t>
      </w:r>
    </w:p>
    <w:p w14:paraId="7B6A5F13" w14:textId="77777777" w:rsidR="00B00DA8" w:rsidRDefault="00B00DA8" w:rsidP="00B00DA8">
      <w:pPr>
        <w:pStyle w:val="Sangradetextonormal"/>
        <w:spacing w:line="360" w:lineRule="auto"/>
        <w:ind w:firstLine="0"/>
        <w:rPr>
          <w:szCs w:val="24"/>
        </w:rPr>
      </w:pPr>
    </w:p>
    <w:p w14:paraId="4259412C" w14:textId="4796B353" w:rsidR="00DF73B1" w:rsidRPr="00297A52" w:rsidRDefault="00DF73B1" w:rsidP="00B00DA8">
      <w:pPr>
        <w:pStyle w:val="Sangradetextonormal"/>
        <w:spacing w:line="360" w:lineRule="auto"/>
        <w:ind w:firstLine="0"/>
        <w:rPr>
          <w:szCs w:val="24"/>
        </w:rPr>
      </w:pPr>
      <w:r w:rsidRPr="00297A52">
        <w:rPr>
          <w:szCs w:val="24"/>
        </w:rPr>
        <w:t>En las décadas siguientes hasta 1972, las relaciones entre la Nación y las provincias se manejaron dentro del molde recién descripto. Durante el período se incorporaron algunos impuestos nacionales al segundo régimen de coparticipación federal (ganancias eventuales en 1943, beneficios extraordinarios en 1946, sustitutivo a la transmisión gratuita de bienes en 1951), se cambió a favor de las provincias la distribución primaria en ambos regímenes, se modificó la distribución secundaria del fondo de impuestos internos unificados (adoptó el método de ponderación del segundo fondo), y se modificó el sistema de ponderación del segundo fondo. De estos cambios resultó una mayor disociación de las responsabilidades de gasto y de financiamiento a nivel provincial. En 1960, los recursos nacionales financiaban un 47% del gasto provincial (</w:t>
      </w:r>
      <w:r w:rsidRPr="00297A52">
        <w:rPr>
          <w:szCs w:val="24"/>
          <w:lang w:val="af-ZA"/>
        </w:rPr>
        <w:t>ibíd.</w:t>
      </w:r>
      <w:r w:rsidRPr="00297A52">
        <w:rPr>
          <w:szCs w:val="24"/>
        </w:rPr>
        <w:t>, 141).</w:t>
      </w:r>
    </w:p>
    <w:p w14:paraId="7525FBA4" w14:textId="77777777" w:rsidR="00DF73B1" w:rsidRPr="00297A52" w:rsidRDefault="00DF73B1" w:rsidP="00297A52">
      <w:pPr>
        <w:pStyle w:val="Sangradetextonormal"/>
        <w:spacing w:line="360" w:lineRule="auto"/>
        <w:ind w:firstLine="0"/>
        <w:rPr>
          <w:szCs w:val="24"/>
        </w:rPr>
      </w:pPr>
    </w:p>
    <w:p w14:paraId="4D33A76E" w14:textId="77777777" w:rsidR="00DF73B1" w:rsidRPr="00B00DA8" w:rsidRDefault="00DF73B1" w:rsidP="00297A52">
      <w:pPr>
        <w:pStyle w:val="Sangradetextonormal"/>
        <w:spacing w:line="360" w:lineRule="auto"/>
        <w:ind w:firstLine="0"/>
        <w:rPr>
          <w:b/>
          <w:bCs/>
          <w:iCs/>
          <w:szCs w:val="24"/>
        </w:rPr>
      </w:pPr>
      <w:r w:rsidRPr="00B00DA8">
        <w:rPr>
          <w:b/>
          <w:bCs/>
          <w:iCs/>
          <w:szCs w:val="24"/>
        </w:rPr>
        <w:t>Consolidación del fondo común</w:t>
      </w:r>
    </w:p>
    <w:p w14:paraId="19516DE7" w14:textId="77777777" w:rsidR="00B00DA8" w:rsidRDefault="00B00DA8" w:rsidP="00B00DA8">
      <w:pPr>
        <w:pStyle w:val="Sangradetextonormal"/>
        <w:spacing w:line="360" w:lineRule="auto"/>
        <w:ind w:firstLine="0"/>
        <w:rPr>
          <w:szCs w:val="24"/>
        </w:rPr>
      </w:pPr>
    </w:p>
    <w:p w14:paraId="2B1EE98E" w14:textId="3ACE59A2" w:rsidR="00DF73B1" w:rsidRPr="00297A52" w:rsidRDefault="00DF73B1" w:rsidP="00B00DA8">
      <w:pPr>
        <w:pStyle w:val="Sangradetextonormal"/>
        <w:spacing w:line="360" w:lineRule="auto"/>
        <w:ind w:firstLine="0"/>
        <w:rPr>
          <w:szCs w:val="24"/>
        </w:rPr>
      </w:pPr>
      <w:r w:rsidRPr="00297A52">
        <w:rPr>
          <w:szCs w:val="24"/>
        </w:rPr>
        <w:t xml:space="preserve">En 1973 se sancionó la ley 20221, que hizo época en la historia del federalismo fiscal. Con el objeto de reducir la dependencia provincial de los aportes del Tesoro Nacional, que por entonces habían aumentado mucho en compensación de la merma en términos reales que </w:t>
      </w:r>
      <w:r w:rsidRPr="00297A52">
        <w:rPr>
          <w:szCs w:val="24"/>
        </w:rPr>
        <w:lastRenderedPageBreak/>
        <w:t>sufría la recaudación coparticipada por la creciente inflación, y con el propósito, según ciertos autores, de fortalecer a gobiernos conservadores del Interior en vista del inminente regreso del peronismo al poder, la nueva ley volvió a elevar la participación primaria de las provincias. Aunque también permitió superar males incurables del viejo régimen, como su carácter fragmentario y excesivamente complejo. De esta forma, los impuestos nacionales, salvo los de afectación específica, integraron un sistema único. Un 48.5% de la recaudación de impuestos coparticipados quedaba para la Nación, que remitía 1.8 puntos porcentuales a la MCBA y 0.2 puntos a Tierra del Fuego; otro 48.5% se transfería automáticamente a las provincias, las que quedaban imposibilitadas de recaudar tributos similares a los nacionales, y un 3% iba al Fondo de Desarrollo Regional. La MCBA fue excluida del régimen en 1981 (</w:t>
      </w:r>
      <w:r w:rsidRPr="00297A52">
        <w:rPr>
          <w:szCs w:val="24"/>
          <w:lang w:val="af-ZA"/>
        </w:rPr>
        <w:t>ibíd.</w:t>
      </w:r>
      <w:r w:rsidRPr="00297A52">
        <w:rPr>
          <w:szCs w:val="24"/>
        </w:rPr>
        <w:t>, 162).</w:t>
      </w:r>
    </w:p>
    <w:p w14:paraId="16576DE0" w14:textId="77777777" w:rsidR="00B00DA8" w:rsidRDefault="00B00DA8" w:rsidP="00B00DA8">
      <w:pPr>
        <w:pStyle w:val="Sangradetextonormal"/>
        <w:spacing w:line="360" w:lineRule="auto"/>
        <w:ind w:firstLine="0"/>
        <w:rPr>
          <w:szCs w:val="24"/>
        </w:rPr>
      </w:pPr>
    </w:p>
    <w:p w14:paraId="5BF2C347" w14:textId="6E964810" w:rsidR="00DF73B1" w:rsidRPr="00297A52" w:rsidRDefault="00DF73B1" w:rsidP="00B00DA8">
      <w:pPr>
        <w:pStyle w:val="Sangradetextonormal"/>
        <w:spacing w:line="360" w:lineRule="auto"/>
        <w:ind w:firstLine="0"/>
        <w:rPr>
          <w:szCs w:val="24"/>
        </w:rPr>
      </w:pPr>
      <w:r w:rsidRPr="00297A52">
        <w:rPr>
          <w:szCs w:val="24"/>
        </w:rPr>
        <w:t>La distribución secundaria se efectuaba según el método de ponderadores. El porcentaje correspondiente a cada provincia se calculaba sobre la base de tres indicadores: 65% según la cantidad de habitantes, 25% según la brecha de desarrollo y 10% según la dispersión demográfica. El primero favorecía a las provincias con más habitantes que PBI; el segundo beneficiaba también a las provincias pobres pues salía del promedio aritmético de índices de calidad de vivienda, educación y automóviles por habitante, y el tercero favorecía a las provincias poco pobladas del Sur. El objeto de la nueva distribución secundaria era igualar las capacidades de los fiscos provinciales en la provisión de ciertos bienes públicos (justicia y seguridad) y de otros que son vistos como públicos aunque no lo son (educación primaria y salud), sin tomar nota de que dicha meta ya se había alcanzado alrededor de 1960. La ley 20221 aumentó el financiamiento nacional del gasto provincial de nuevo; en 1977 ascendía a un 62% (</w:t>
      </w:r>
      <w:r w:rsidRPr="00297A52">
        <w:rPr>
          <w:szCs w:val="24"/>
          <w:lang w:val="af-ZA"/>
        </w:rPr>
        <w:t>ibíd.</w:t>
      </w:r>
      <w:r w:rsidRPr="00297A52">
        <w:rPr>
          <w:szCs w:val="24"/>
        </w:rPr>
        <w:t>, 144-145).</w:t>
      </w:r>
    </w:p>
    <w:p w14:paraId="0B3A5AB4" w14:textId="77777777" w:rsidR="00DF73B1" w:rsidRPr="00297A52" w:rsidRDefault="00DF73B1" w:rsidP="00297A52">
      <w:pPr>
        <w:pStyle w:val="Sangradetextonormal"/>
        <w:spacing w:line="360" w:lineRule="auto"/>
        <w:rPr>
          <w:szCs w:val="24"/>
        </w:rPr>
      </w:pPr>
    </w:p>
    <w:p w14:paraId="58B6720C" w14:textId="77777777" w:rsidR="00DF73B1" w:rsidRPr="00B00DA8" w:rsidRDefault="00DF73B1" w:rsidP="00297A52">
      <w:pPr>
        <w:pStyle w:val="Sangradetextonormal"/>
        <w:spacing w:line="360" w:lineRule="auto"/>
        <w:ind w:firstLine="0"/>
        <w:rPr>
          <w:b/>
          <w:bCs/>
          <w:iCs/>
          <w:szCs w:val="24"/>
        </w:rPr>
      </w:pPr>
      <w:r w:rsidRPr="00B00DA8">
        <w:rPr>
          <w:b/>
          <w:bCs/>
          <w:iCs/>
          <w:szCs w:val="24"/>
        </w:rPr>
        <w:t>Primeros parches del fondo común</w:t>
      </w:r>
    </w:p>
    <w:p w14:paraId="6A421B36" w14:textId="77777777" w:rsidR="00DF73B1" w:rsidRPr="00297A52" w:rsidRDefault="00DF73B1" w:rsidP="00297A52">
      <w:pPr>
        <w:pStyle w:val="Sangradetextonormal"/>
        <w:spacing w:line="360" w:lineRule="auto"/>
        <w:rPr>
          <w:szCs w:val="24"/>
        </w:rPr>
      </w:pPr>
    </w:p>
    <w:p w14:paraId="051AD331" w14:textId="77777777" w:rsidR="00DF73B1" w:rsidRPr="00297A52" w:rsidRDefault="00DF73B1" w:rsidP="00B00DA8">
      <w:pPr>
        <w:pStyle w:val="Sangradetextonormal"/>
        <w:spacing w:line="360" w:lineRule="auto"/>
        <w:ind w:firstLine="0"/>
        <w:rPr>
          <w:szCs w:val="24"/>
        </w:rPr>
      </w:pPr>
      <w:r w:rsidRPr="00297A52">
        <w:rPr>
          <w:szCs w:val="24"/>
        </w:rPr>
        <w:t xml:space="preserve">En vista del fuerte aumento de recursos coparticipados promovido por la estabilización económica de fines de la década de 1970, de las dificultades para transferir nuevos gastos a las provincias y de la necesidad de rebajar impuestos al trabajo, el gobierno nacional puso en práctica en 1980 un mecanismo de pre-coparticipación que beneficiaba a la Nación en la </w:t>
      </w:r>
      <w:r w:rsidRPr="00297A52">
        <w:rPr>
          <w:szCs w:val="24"/>
        </w:rPr>
        <w:lastRenderedPageBreak/>
        <w:t>distribución primaria de fondos federales. La idea era neutralizar la pérdida de recaudación que provocaría la rebaja de los impuestos al trabajo (que contribuían a financiar el sistema previsional) con una generalización del IVA (</w:t>
      </w:r>
      <w:r w:rsidR="00CE4213" w:rsidRPr="00297A52">
        <w:rPr>
          <w:szCs w:val="24"/>
        </w:rPr>
        <w:t xml:space="preserve">impuesto </w:t>
      </w:r>
      <w:r w:rsidRPr="00297A52">
        <w:rPr>
          <w:szCs w:val="24"/>
        </w:rPr>
        <w:t>que había reemplazado al impuesto a las ventas en 1975). Pero como casi la mitad del producido de la generalización del IVA se iba a canalizar automáticamente a las provincias, se creyó conveniente que la Nación retuviera una fracción adicional de la recaudación coparticipada; esta fracción se desviaría hacia el sistema previsional en vez de seguir un curso predeterminado a la Nación, las provincias y el FDR (</w:t>
      </w:r>
      <w:r w:rsidRPr="00297A52">
        <w:rPr>
          <w:szCs w:val="24"/>
          <w:lang w:val="af-ZA"/>
        </w:rPr>
        <w:t>ibíd.</w:t>
      </w:r>
      <w:r w:rsidRPr="00297A52">
        <w:rPr>
          <w:szCs w:val="24"/>
        </w:rPr>
        <w:t>, 146-147). Este es un clásico ejemplo de los engendros a que obliga una mala institución económica.</w:t>
      </w:r>
    </w:p>
    <w:p w14:paraId="416E4EA9" w14:textId="77777777" w:rsidR="00B00DA8" w:rsidRDefault="00B00DA8" w:rsidP="00B00DA8">
      <w:pPr>
        <w:pStyle w:val="Sangradetextonormal"/>
        <w:spacing w:line="360" w:lineRule="auto"/>
        <w:ind w:firstLine="0"/>
        <w:rPr>
          <w:szCs w:val="24"/>
        </w:rPr>
      </w:pPr>
    </w:p>
    <w:p w14:paraId="7124B9D7" w14:textId="331ED8C2" w:rsidR="00DF73B1" w:rsidRPr="00297A52" w:rsidRDefault="00DF73B1" w:rsidP="00B00DA8">
      <w:pPr>
        <w:pStyle w:val="Sangradetextonormal"/>
        <w:spacing w:line="360" w:lineRule="auto"/>
        <w:ind w:firstLine="0"/>
        <w:rPr>
          <w:szCs w:val="24"/>
        </w:rPr>
      </w:pPr>
      <w:r w:rsidRPr="00297A52">
        <w:rPr>
          <w:szCs w:val="24"/>
        </w:rPr>
        <w:t>La altísima inflación de la década de 1980 provocó un deterioro en términos reales de la recaudación coparticipada; esto indujo, como compensación, un aumento de los aportes del Tesoro Nacional. En 1983, el financiamiento nacional del gasto provincial tocó un máximo histórico de 72% (</w:t>
      </w:r>
      <w:r w:rsidRPr="00297A52">
        <w:rPr>
          <w:szCs w:val="24"/>
          <w:lang w:val="af-ZA"/>
        </w:rPr>
        <w:t>ibíd.</w:t>
      </w:r>
      <w:r w:rsidRPr="00297A52">
        <w:rPr>
          <w:szCs w:val="24"/>
        </w:rPr>
        <w:t>, 149). El régimen de coparticipación establecido por la ley 20221 venció a fines de 1984 y, como no se había sancionado una nueva ley, las relaciones entre la Nación y las provincias ingresaron en una etapa de vacío legislativo. Hasta 1988, las transferencias a las provincias se manejaron de manera discrecional, por medio de aportes del Tesoro Nacional.</w:t>
      </w:r>
    </w:p>
    <w:p w14:paraId="28FA7268" w14:textId="77777777" w:rsidR="00DF73B1" w:rsidRPr="00297A52" w:rsidRDefault="00DF73B1" w:rsidP="00297A52">
      <w:pPr>
        <w:pStyle w:val="Sangradetextonormal"/>
        <w:spacing w:line="360" w:lineRule="auto"/>
        <w:rPr>
          <w:szCs w:val="24"/>
        </w:rPr>
      </w:pPr>
    </w:p>
    <w:p w14:paraId="2B03B8A7" w14:textId="77777777" w:rsidR="00DF73B1" w:rsidRPr="00B00DA8" w:rsidRDefault="00DF73B1" w:rsidP="00297A52">
      <w:pPr>
        <w:pStyle w:val="Sangradetextonormal"/>
        <w:spacing w:line="360" w:lineRule="auto"/>
        <w:ind w:firstLine="0"/>
        <w:rPr>
          <w:b/>
          <w:bCs/>
          <w:iCs/>
          <w:szCs w:val="24"/>
        </w:rPr>
      </w:pPr>
      <w:r w:rsidRPr="00B00DA8">
        <w:rPr>
          <w:b/>
          <w:bCs/>
          <w:iCs/>
          <w:szCs w:val="24"/>
        </w:rPr>
        <w:t>Más parches y los coeficientes mágicos</w:t>
      </w:r>
    </w:p>
    <w:p w14:paraId="48CFB356" w14:textId="77777777" w:rsidR="00DF73B1" w:rsidRPr="00297A52" w:rsidRDefault="00DF73B1" w:rsidP="00297A52">
      <w:pPr>
        <w:pStyle w:val="Sangradetextonormal"/>
        <w:spacing w:line="360" w:lineRule="auto"/>
        <w:rPr>
          <w:szCs w:val="24"/>
        </w:rPr>
      </w:pPr>
    </w:p>
    <w:p w14:paraId="631FCDD2" w14:textId="1F57D48B" w:rsidR="00DF73B1" w:rsidRDefault="00DF73B1" w:rsidP="00B00DA8">
      <w:pPr>
        <w:pStyle w:val="Sangradetextonormal"/>
        <w:spacing w:line="360" w:lineRule="auto"/>
        <w:ind w:firstLine="0"/>
        <w:rPr>
          <w:szCs w:val="24"/>
        </w:rPr>
      </w:pPr>
      <w:r w:rsidRPr="00297A52">
        <w:rPr>
          <w:szCs w:val="24"/>
        </w:rPr>
        <w:t>En 1988 se sancionó la ley 23548, que establecía un nuevo régimen de coparticipación. Aparte del IVA y de los impuestos internos, a las ganancias y a los activos, entre otros, la ley declaró coparticipable el “excedente de combustibles”. Se agrandaron de esta manera los fondos sujetos a coparticipación. Aumentó la participación primaria de las provincias en relación con la ley 20221. La Nación disminuyó su parte a un 42.3%, y las provincias la aumentaron a un 57.7%, la más alta participación en la historia; un punto porcentual de la parte destinada a las provincias sería administrado en forma discrecional por el gobierno nacional por medio de aportes del Tesoro (</w:t>
      </w:r>
      <w:r w:rsidRPr="00297A52">
        <w:rPr>
          <w:szCs w:val="24"/>
          <w:lang w:val="af-ZA"/>
        </w:rPr>
        <w:t>ibíd.</w:t>
      </w:r>
      <w:r w:rsidRPr="00297A52">
        <w:rPr>
          <w:szCs w:val="24"/>
        </w:rPr>
        <w:t xml:space="preserve">, 150-151). A su vez, los porcentajes que les correspondían a las provincias no surgieron de un método de ponderadores como en 1935 y 1973, sino del promedio de los aportes del Tesoro que cada una de ellas había recibido en los </w:t>
      </w:r>
      <w:r w:rsidRPr="00297A52">
        <w:rPr>
          <w:szCs w:val="24"/>
        </w:rPr>
        <w:lastRenderedPageBreak/>
        <w:t>años de vacío legislativo (Porto op. cit., 114). Era el turno del m</w:t>
      </w:r>
      <w:r w:rsidR="00854E1C" w:rsidRPr="00297A52">
        <w:rPr>
          <w:szCs w:val="24"/>
        </w:rPr>
        <w:t>étodo de los “números mágicos”.</w:t>
      </w:r>
    </w:p>
    <w:p w14:paraId="5BCA085D" w14:textId="77777777" w:rsidR="000B3D5F" w:rsidRDefault="000B3D5F" w:rsidP="000B3D5F">
      <w:pPr>
        <w:pStyle w:val="Sangradetextonormal"/>
        <w:spacing w:line="360" w:lineRule="auto"/>
        <w:ind w:firstLine="0"/>
        <w:rPr>
          <w:szCs w:val="24"/>
        </w:rPr>
      </w:pPr>
    </w:p>
    <w:p w14:paraId="5627DA7D" w14:textId="1081BA05" w:rsidR="00DF73B1" w:rsidRPr="00297A52" w:rsidRDefault="00DF73B1" w:rsidP="000B3D5F">
      <w:pPr>
        <w:pStyle w:val="Sangradetextonormal"/>
        <w:spacing w:line="360" w:lineRule="auto"/>
        <w:ind w:firstLine="0"/>
        <w:rPr>
          <w:szCs w:val="24"/>
        </w:rPr>
      </w:pPr>
      <w:r w:rsidRPr="00297A52">
        <w:rPr>
          <w:szCs w:val="24"/>
        </w:rPr>
        <w:t>En el contexto de estabilidad y crecimiento de la década de 1990, el gobierno nacional reflotó la idea de la pre-coparticipación. En vista del agudo incremento de los recursos por coparticipación que fluían en forma automática a las provincias, y que éstas gastaban más o menos automáticamente, la Nación impulsó nuevas transferencias de gastos en las áreas de educación secundaria, salud y minoridad, y luego acordó dos pre-coparticipaciones. Por la primera de ellas, retuvo un 16% de la recaudación del impuesto a las ganancias para atender problemas de las grandes urbes (10 puntos porcentuales para la provincia de Buenos Aires y el resto para otras provincias). Por la segunda, la Nación retuvo un 20% adicional de la recaudación del impuesto a las ganancias y un 11% de la recaudación del IVA, con el fin de cubrir el déficit previsional de arrastre y el déficit incremental que surgiría de la creación del sistema de jubilación privada (por desvío de los aportes personales de las cajas estatales a las AFJP) (</w:t>
      </w:r>
      <w:r w:rsidRPr="00297A52">
        <w:rPr>
          <w:szCs w:val="24"/>
          <w:lang w:val="af-ZA"/>
        </w:rPr>
        <w:t>ibíd.</w:t>
      </w:r>
      <w:r w:rsidRPr="00297A52">
        <w:rPr>
          <w:szCs w:val="24"/>
        </w:rPr>
        <w:t>, 156-157).</w:t>
      </w:r>
    </w:p>
    <w:p w14:paraId="51F5C826" w14:textId="77777777" w:rsidR="00DF73B1" w:rsidRPr="00297A52" w:rsidRDefault="00DF73B1" w:rsidP="00297A52">
      <w:pPr>
        <w:pStyle w:val="Sangradetextonormal"/>
        <w:spacing w:line="360" w:lineRule="auto"/>
        <w:rPr>
          <w:szCs w:val="24"/>
        </w:rPr>
      </w:pPr>
    </w:p>
    <w:p w14:paraId="5D0C325E" w14:textId="77777777" w:rsidR="00DF73B1" w:rsidRPr="000B3D5F" w:rsidRDefault="00DF73B1" w:rsidP="00297A52">
      <w:pPr>
        <w:pStyle w:val="Sangradetextonormal"/>
        <w:spacing w:line="360" w:lineRule="auto"/>
        <w:ind w:firstLine="0"/>
        <w:rPr>
          <w:b/>
          <w:bCs/>
          <w:iCs/>
          <w:szCs w:val="24"/>
        </w:rPr>
      </w:pPr>
      <w:r w:rsidRPr="000B3D5F">
        <w:rPr>
          <w:b/>
          <w:bCs/>
          <w:iCs/>
          <w:szCs w:val="24"/>
        </w:rPr>
        <w:t>Previsible remate del fondo común</w:t>
      </w:r>
    </w:p>
    <w:p w14:paraId="37F534D0" w14:textId="77777777" w:rsidR="00DF73B1" w:rsidRPr="00297A52" w:rsidRDefault="00DF73B1" w:rsidP="00297A52">
      <w:pPr>
        <w:pStyle w:val="Sangradetextonormal"/>
        <w:spacing w:line="360" w:lineRule="auto"/>
        <w:rPr>
          <w:szCs w:val="24"/>
        </w:rPr>
      </w:pPr>
    </w:p>
    <w:p w14:paraId="54F7E248" w14:textId="77777777" w:rsidR="00DF73B1" w:rsidRPr="00297A52" w:rsidRDefault="00DF73B1" w:rsidP="000B3D5F">
      <w:pPr>
        <w:pStyle w:val="Sangradetextonormal"/>
        <w:spacing w:line="360" w:lineRule="auto"/>
        <w:ind w:firstLine="0"/>
        <w:rPr>
          <w:szCs w:val="24"/>
          <w:lang w:val="es-ES_tradnl"/>
        </w:rPr>
      </w:pPr>
      <w:r w:rsidRPr="00297A52">
        <w:rPr>
          <w:szCs w:val="24"/>
        </w:rPr>
        <w:t xml:space="preserve">Durante la crisis económica de 2001-2002 se crearon dos impuestos no coparticipados de alta recaudación (retenciones a la exportación de cereales e hidrocarburos e impuesto al cheque). El gobierno nacional recolectó en años posteriores fondos equivalentes a casi 5% del PBI por ambos tributos, y los gastó sin controles presupuestarios del Poder Legislativo. En ocasión de la crisis, el Congreso le cedió facultades extraordinarias al gobierno nacional y se las renovó automáticamente hasta fines de la década. En este período, la dependencia de las provincias del gobierno nacional adquirió un carácter político todavía más evidente. El presidente de la Nación premiaba con entregas discrecionales de esos fondos la ‘buena conducta’ de los gobernadores. La actividad de lobby de los gobernadores en Buenos Aires se hizo rutina </w:t>
      </w:r>
      <w:r w:rsidRPr="00297A52">
        <w:rPr>
          <w:szCs w:val="24"/>
          <w:lang w:val="es-ES_tradnl"/>
        </w:rPr>
        <w:t>(Jones, Meloni y Tommasi 2008). El sistema de fondo común creado en 1935 llegó de esta forma a su conclusión natural: la concentración del poder político y financiero en el gobierno nacional.</w:t>
      </w:r>
    </w:p>
    <w:p w14:paraId="44B0D260" w14:textId="77777777" w:rsidR="00DF73B1" w:rsidRPr="00297A52" w:rsidRDefault="00DF73B1" w:rsidP="00297A52">
      <w:pPr>
        <w:pStyle w:val="Sangradetextonormal"/>
        <w:spacing w:line="360" w:lineRule="auto"/>
        <w:ind w:firstLine="0"/>
        <w:rPr>
          <w:szCs w:val="24"/>
          <w:lang w:val="es-ES_tradnl"/>
        </w:rPr>
      </w:pPr>
    </w:p>
    <w:p w14:paraId="4E838E22" w14:textId="0CBDB240" w:rsidR="00DF73B1" w:rsidRDefault="00EF4302" w:rsidP="00297A52">
      <w:pPr>
        <w:pStyle w:val="Sangradetextonormal"/>
        <w:spacing w:line="360" w:lineRule="auto"/>
        <w:ind w:firstLine="0"/>
        <w:rPr>
          <w:szCs w:val="24"/>
        </w:rPr>
      </w:pPr>
      <w:r w:rsidRPr="00297A52">
        <w:rPr>
          <w:szCs w:val="24"/>
        </w:rPr>
        <w:lastRenderedPageBreak/>
        <w:t>El C</w:t>
      </w:r>
      <w:r w:rsidR="00DF73B1" w:rsidRPr="00297A52">
        <w:rPr>
          <w:szCs w:val="24"/>
        </w:rPr>
        <w:t xml:space="preserve">uadro </w:t>
      </w:r>
      <w:r w:rsidRPr="00297A52">
        <w:rPr>
          <w:szCs w:val="24"/>
        </w:rPr>
        <w:t xml:space="preserve">Nº </w:t>
      </w:r>
      <w:r w:rsidR="00DF73B1" w:rsidRPr="00297A52">
        <w:rPr>
          <w:szCs w:val="24"/>
        </w:rPr>
        <w:t xml:space="preserve">1 </w:t>
      </w:r>
      <w:r w:rsidR="008E063A" w:rsidRPr="00297A52">
        <w:rPr>
          <w:szCs w:val="24"/>
        </w:rPr>
        <w:t>muestra</w:t>
      </w:r>
      <w:r w:rsidR="00DF73B1" w:rsidRPr="00297A52">
        <w:rPr>
          <w:szCs w:val="24"/>
        </w:rPr>
        <w:t xml:space="preserve"> los coeficientes de distribución secundaria de la coparticipación federal de impuestos, que es el principal componente del fondo común, de acuerdo con las leyes de 1973 y 1988. Salta a la vista la discrepancia entre la importancia económica y poblacional de las provincias y lo que r</w:t>
      </w:r>
      <w:r w:rsidRPr="00297A52">
        <w:rPr>
          <w:szCs w:val="24"/>
        </w:rPr>
        <w:t>eciben por coparticipación. El C</w:t>
      </w:r>
      <w:r w:rsidR="00DF73B1" w:rsidRPr="00297A52">
        <w:rPr>
          <w:szCs w:val="24"/>
        </w:rPr>
        <w:t xml:space="preserve">uadro </w:t>
      </w:r>
      <w:r w:rsidRPr="00297A52">
        <w:rPr>
          <w:szCs w:val="24"/>
        </w:rPr>
        <w:t xml:space="preserve">Nº </w:t>
      </w:r>
      <w:r w:rsidR="00DF73B1" w:rsidRPr="00297A52">
        <w:rPr>
          <w:szCs w:val="24"/>
        </w:rPr>
        <w:t>2 sintetiza la evolución de las relaciones financieras entre la Nación y las provincias. Aquí se destaca el excesivo financiamiento nacional del gasto público provincial que se verifica por lo menos desde la década de 1940.</w:t>
      </w:r>
    </w:p>
    <w:p w14:paraId="646C0270" w14:textId="77777777" w:rsidR="000B3D5F" w:rsidRPr="00297A52" w:rsidRDefault="000B3D5F" w:rsidP="00297A52">
      <w:pPr>
        <w:pStyle w:val="Sangradetextonormal"/>
        <w:spacing w:line="360" w:lineRule="auto"/>
        <w:ind w:firstLine="0"/>
        <w:rPr>
          <w:szCs w:val="24"/>
        </w:rPr>
      </w:pPr>
    </w:p>
    <w:p w14:paraId="27F07F5A" w14:textId="77777777" w:rsidR="00DF73B1" w:rsidRPr="00297A52" w:rsidRDefault="00EF4302" w:rsidP="000B3D5F">
      <w:pPr>
        <w:pStyle w:val="Sangradetextonormal"/>
        <w:spacing w:line="360" w:lineRule="auto"/>
        <w:ind w:firstLine="0"/>
        <w:rPr>
          <w:szCs w:val="24"/>
        </w:rPr>
      </w:pPr>
      <w:r w:rsidRPr="00297A52">
        <w:rPr>
          <w:szCs w:val="24"/>
        </w:rPr>
        <w:t>El C</w:t>
      </w:r>
      <w:r w:rsidR="00DF73B1" w:rsidRPr="00297A52">
        <w:rPr>
          <w:szCs w:val="24"/>
        </w:rPr>
        <w:t xml:space="preserve">uadro </w:t>
      </w:r>
      <w:r w:rsidRPr="00297A52">
        <w:rPr>
          <w:szCs w:val="24"/>
        </w:rPr>
        <w:t xml:space="preserve">Nº </w:t>
      </w:r>
      <w:r w:rsidR="00DF73B1" w:rsidRPr="00297A52">
        <w:rPr>
          <w:szCs w:val="24"/>
        </w:rPr>
        <w:t xml:space="preserve">3 explica sin necesidad de palabras el motivo por el cual nuestra organización federal es considerada un “laberinto fiscal”. Este diagrama ilustra el complejo sistema de cisternas y cañerías a través del cual se distribuyen los impuestos que recauda la Nación entre distintos niveles de gobierno y finalidades. Es una fotografía del estado de situación al año 1997; en la década de 2000 se volvió incluso más complicado y aleatorio en virtud del reparto de fondos provenientes de las retenciones a la exportación y el impuesto al cheque. Sobre el costado izquierdo se ordenan los impuestos recaudados por la Nación. Hacia la derecha, el diagrama </w:t>
      </w:r>
      <w:r w:rsidR="00F342A3" w:rsidRPr="00297A52">
        <w:rPr>
          <w:szCs w:val="24"/>
        </w:rPr>
        <w:t>muestra</w:t>
      </w:r>
      <w:r w:rsidR="00DF73B1" w:rsidRPr="00297A52">
        <w:rPr>
          <w:szCs w:val="24"/>
        </w:rPr>
        <w:t xml:space="preserve"> cómo se distribuyen las recaudaciones entre una variedad de fondos comunes, antes de </w:t>
      </w:r>
      <w:r w:rsidR="00F342A3" w:rsidRPr="00297A52">
        <w:rPr>
          <w:szCs w:val="24"/>
        </w:rPr>
        <w:t xml:space="preserve">ser </w:t>
      </w:r>
      <w:r w:rsidR="00DF73B1" w:rsidRPr="00297A52">
        <w:rPr>
          <w:szCs w:val="24"/>
        </w:rPr>
        <w:t>redistribui</w:t>
      </w:r>
      <w:r w:rsidR="00F342A3" w:rsidRPr="00297A52">
        <w:rPr>
          <w:szCs w:val="24"/>
        </w:rPr>
        <w:t>das</w:t>
      </w:r>
      <w:r w:rsidR="00DF73B1" w:rsidRPr="00297A52">
        <w:rPr>
          <w:szCs w:val="24"/>
        </w:rPr>
        <w:t xml:space="preserve"> a instit</w:t>
      </w:r>
      <w:r w:rsidR="00F342A3" w:rsidRPr="00297A52">
        <w:rPr>
          <w:szCs w:val="24"/>
        </w:rPr>
        <w:t>utos autárquicos (como el INTA), e</w:t>
      </w:r>
      <w:r w:rsidR="00DF73B1" w:rsidRPr="00297A52">
        <w:rPr>
          <w:szCs w:val="24"/>
        </w:rPr>
        <w:t>l sistema de seguridad social, la administración nacional y, sobre todo, las provincias. Los fondos comunes se ordenan vertical</w:t>
      </w:r>
      <w:r w:rsidR="00F342A3" w:rsidRPr="00297A52">
        <w:rPr>
          <w:szCs w:val="24"/>
        </w:rPr>
        <w:t>mente</w:t>
      </w:r>
      <w:r w:rsidR="00DF73B1" w:rsidRPr="00297A52">
        <w:rPr>
          <w:szCs w:val="24"/>
        </w:rPr>
        <w:t xml:space="preserve"> en la parte central del diagrama. El más importante de ellos es la coparticipación federal de impuestos, que representa alrededor de dos tercios de los fondos que se remesan a las provincias. El tercio restante proviene de otros fondos (Educativo, Desarrollo Eléctrico del Interior, Vivienda, Vial, Infraestructura y Especial del Tabaco), de aportes del Tesoro Nacional, de regalías y de pre-coparticipaciones, con sus métodos de redistribución propios y “mágicos”. El laberinto impide que el contribuyente sepa a qué jurisdicci</w:t>
      </w:r>
      <w:r w:rsidR="00F342A3" w:rsidRPr="00297A52">
        <w:rPr>
          <w:szCs w:val="24"/>
        </w:rPr>
        <w:t xml:space="preserve">ón u organismo paga impuestos y </w:t>
      </w:r>
      <w:r w:rsidR="00DF73B1" w:rsidRPr="00297A52">
        <w:rPr>
          <w:szCs w:val="24"/>
        </w:rPr>
        <w:t>a qué jurisdicción u organismo puede exigir rendición de cuentas sobre la calidad de los servicios públicos que dichos impuestos financian.</w:t>
      </w:r>
    </w:p>
    <w:p w14:paraId="505260BB" w14:textId="77777777" w:rsidR="00DF73B1" w:rsidRPr="00297A52" w:rsidRDefault="00DF73B1" w:rsidP="00297A52">
      <w:pPr>
        <w:pStyle w:val="Sangradetextonormal"/>
        <w:spacing w:line="360" w:lineRule="auto"/>
        <w:ind w:firstLine="0"/>
        <w:rPr>
          <w:szCs w:val="24"/>
        </w:rPr>
      </w:pPr>
    </w:p>
    <w:p w14:paraId="52ABA4F3" w14:textId="77777777" w:rsidR="000B3D5F" w:rsidRDefault="000B3D5F">
      <w:pPr>
        <w:rPr>
          <w:sz w:val="24"/>
          <w:szCs w:val="24"/>
          <w:lang w:val="es-MX"/>
        </w:rPr>
      </w:pPr>
      <w:r w:rsidRPr="0072368A">
        <w:rPr>
          <w:szCs w:val="24"/>
          <w:lang w:val="es-MX"/>
        </w:rPr>
        <w:br w:type="page"/>
      </w:r>
    </w:p>
    <w:p w14:paraId="0355D941" w14:textId="6AA18D03" w:rsidR="00DF73B1" w:rsidRPr="00297A52" w:rsidRDefault="00DF73B1" w:rsidP="00297A52">
      <w:pPr>
        <w:pStyle w:val="Sangradetextonormal"/>
        <w:spacing w:line="360" w:lineRule="auto"/>
        <w:ind w:firstLine="0"/>
        <w:rPr>
          <w:szCs w:val="24"/>
        </w:rPr>
      </w:pPr>
      <w:r w:rsidRPr="00297A52">
        <w:rPr>
          <w:szCs w:val="24"/>
        </w:rPr>
        <w:lastRenderedPageBreak/>
        <w:t xml:space="preserve">Cuadro </w:t>
      </w:r>
      <w:r w:rsidR="00590196" w:rsidRPr="00297A52">
        <w:rPr>
          <w:szCs w:val="24"/>
        </w:rPr>
        <w:t xml:space="preserve">Nº </w:t>
      </w:r>
      <w:r w:rsidRPr="00297A52">
        <w:rPr>
          <w:szCs w:val="24"/>
        </w:rPr>
        <w:t>1</w:t>
      </w:r>
    </w:p>
    <w:p w14:paraId="0F7C34A2" w14:textId="77777777" w:rsidR="00DF73B1" w:rsidRPr="00297A52" w:rsidRDefault="00DF73B1" w:rsidP="00297A52">
      <w:pPr>
        <w:pStyle w:val="Sangradetextonormal"/>
        <w:spacing w:line="360" w:lineRule="auto"/>
        <w:ind w:firstLine="0"/>
        <w:rPr>
          <w:szCs w:val="24"/>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1488"/>
        <w:gridCol w:w="1572"/>
        <w:gridCol w:w="1080"/>
        <w:gridCol w:w="1800"/>
      </w:tblGrid>
      <w:tr w:rsidR="00DF73B1" w:rsidRPr="00297A52" w14:paraId="12DC92CF" w14:textId="77777777">
        <w:trPr>
          <w:cantSplit/>
          <w:trHeight w:val="77"/>
        </w:trPr>
        <w:tc>
          <w:tcPr>
            <w:tcW w:w="4860" w:type="dxa"/>
            <w:gridSpan w:val="3"/>
          </w:tcPr>
          <w:p w14:paraId="2AFBF029" w14:textId="77777777" w:rsidR="00DF73B1" w:rsidRPr="00297A52" w:rsidRDefault="00DF73B1" w:rsidP="00297A52">
            <w:pPr>
              <w:spacing w:line="360" w:lineRule="auto"/>
              <w:jc w:val="center"/>
              <w:rPr>
                <w:sz w:val="24"/>
                <w:szCs w:val="24"/>
              </w:rPr>
            </w:pPr>
            <w:r w:rsidRPr="00297A52">
              <w:rPr>
                <w:sz w:val="24"/>
                <w:szCs w:val="24"/>
              </w:rPr>
              <w:t>Distribución Secundaria porcentual</w:t>
            </w:r>
          </w:p>
        </w:tc>
        <w:tc>
          <w:tcPr>
            <w:tcW w:w="2880" w:type="dxa"/>
            <w:gridSpan w:val="2"/>
            <w:vMerge w:val="restart"/>
          </w:tcPr>
          <w:p w14:paraId="1E392F69" w14:textId="77777777" w:rsidR="00DF73B1" w:rsidRPr="00297A52" w:rsidRDefault="00DF73B1" w:rsidP="00297A52">
            <w:pPr>
              <w:spacing w:line="360" w:lineRule="auto"/>
              <w:jc w:val="center"/>
              <w:rPr>
                <w:sz w:val="24"/>
                <w:szCs w:val="24"/>
              </w:rPr>
            </w:pPr>
            <w:r w:rsidRPr="00297A52">
              <w:rPr>
                <w:sz w:val="24"/>
                <w:szCs w:val="24"/>
              </w:rPr>
              <w:t>Distribución porcentual de</w:t>
            </w:r>
          </w:p>
        </w:tc>
      </w:tr>
      <w:tr w:rsidR="00DF73B1" w:rsidRPr="00297A52" w14:paraId="00C81A00" w14:textId="77777777">
        <w:trPr>
          <w:cantSplit/>
          <w:trHeight w:val="414"/>
        </w:trPr>
        <w:tc>
          <w:tcPr>
            <w:tcW w:w="1800" w:type="dxa"/>
            <w:vMerge w:val="restart"/>
          </w:tcPr>
          <w:p w14:paraId="32F8C380" w14:textId="77777777" w:rsidR="00DF73B1" w:rsidRPr="00297A52" w:rsidRDefault="00DF73B1" w:rsidP="00297A52">
            <w:pPr>
              <w:spacing w:line="360" w:lineRule="auto"/>
              <w:rPr>
                <w:sz w:val="24"/>
                <w:szCs w:val="24"/>
              </w:rPr>
            </w:pPr>
          </w:p>
        </w:tc>
        <w:tc>
          <w:tcPr>
            <w:tcW w:w="1488" w:type="dxa"/>
            <w:vMerge w:val="restart"/>
          </w:tcPr>
          <w:p w14:paraId="0C70D71A" w14:textId="77777777" w:rsidR="00DF73B1" w:rsidRPr="00297A52" w:rsidRDefault="00DF73B1" w:rsidP="00297A52">
            <w:pPr>
              <w:pStyle w:val="Ttulo9"/>
              <w:spacing w:line="360" w:lineRule="auto"/>
              <w:jc w:val="center"/>
              <w:rPr>
                <w:b/>
                <w:szCs w:val="24"/>
                <w:u w:val="none"/>
              </w:rPr>
            </w:pPr>
            <w:r w:rsidRPr="00297A52">
              <w:rPr>
                <w:szCs w:val="24"/>
                <w:u w:val="none"/>
              </w:rPr>
              <w:t>Ley 20221 1973</w:t>
            </w:r>
          </w:p>
        </w:tc>
        <w:tc>
          <w:tcPr>
            <w:tcW w:w="1572" w:type="dxa"/>
            <w:vMerge w:val="restart"/>
          </w:tcPr>
          <w:p w14:paraId="5FF8AC80" w14:textId="77777777" w:rsidR="00DF73B1" w:rsidRPr="00297A52" w:rsidRDefault="00DF73B1" w:rsidP="00297A52">
            <w:pPr>
              <w:pStyle w:val="Ttulo9"/>
              <w:spacing w:line="360" w:lineRule="auto"/>
              <w:jc w:val="center"/>
              <w:rPr>
                <w:szCs w:val="24"/>
                <w:u w:val="none"/>
              </w:rPr>
            </w:pPr>
            <w:r w:rsidRPr="00297A52">
              <w:rPr>
                <w:szCs w:val="24"/>
                <w:u w:val="none"/>
              </w:rPr>
              <w:t>Ley 23548 1988</w:t>
            </w:r>
          </w:p>
        </w:tc>
        <w:tc>
          <w:tcPr>
            <w:tcW w:w="2880" w:type="dxa"/>
            <w:gridSpan w:val="2"/>
            <w:vMerge/>
          </w:tcPr>
          <w:p w14:paraId="61FEA335" w14:textId="77777777" w:rsidR="00DF73B1" w:rsidRPr="00297A52" w:rsidRDefault="00DF73B1" w:rsidP="00297A52">
            <w:pPr>
              <w:spacing w:line="360" w:lineRule="auto"/>
              <w:jc w:val="center"/>
              <w:rPr>
                <w:sz w:val="24"/>
                <w:szCs w:val="24"/>
              </w:rPr>
            </w:pPr>
          </w:p>
        </w:tc>
      </w:tr>
      <w:tr w:rsidR="00DF73B1" w:rsidRPr="00297A52" w14:paraId="10A444FD" w14:textId="77777777">
        <w:trPr>
          <w:cantSplit/>
          <w:trHeight w:val="77"/>
        </w:trPr>
        <w:tc>
          <w:tcPr>
            <w:tcW w:w="1800" w:type="dxa"/>
            <w:vMerge/>
          </w:tcPr>
          <w:p w14:paraId="179A1B23" w14:textId="77777777" w:rsidR="00DF73B1" w:rsidRPr="00297A52" w:rsidRDefault="00DF73B1" w:rsidP="00297A52">
            <w:pPr>
              <w:spacing w:line="360" w:lineRule="auto"/>
              <w:rPr>
                <w:sz w:val="24"/>
                <w:szCs w:val="24"/>
              </w:rPr>
            </w:pPr>
          </w:p>
        </w:tc>
        <w:tc>
          <w:tcPr>
            <w:tcW w:w="1488" w:type="dxa"/>
            <w:vMerge/>
          </w:tcPr>
          <w:p w14:paraId="0E0FDCD8" w14:textId="77777777" w:rsidR="00DF73B1" w:rsidRPr="00297A52" w:rsidRDefault="00DF73B1" w:rsidP="00297A52">
            <w:pPr>
              <w:pStyle w:val="Ttulo9"/>
              <w:spacing w:line="360" w:lineRule="auto"/>
              <w:rPr>
                <w:szCs w:val="24"/>
              </w:rPr>
            </w:pPr>
          </w:p>
        </w:tc>
        <w:tc>
          <w:tcPr>
            <w:tcW w:w="1572" w:type="dxa"/>
            <w:vMerge/>
          </w:tcPr>
          <w:p w14:paraId="11980242" w14:textId="77777777" w:rsidR="00DF73B1" w:rsidRPr="00297A52" w:rsidRDefault="00DF73B1" w:rsidP="00297A52">
            <w:pPr>
              <w:pStyle w:val="Ttulo9"/>
              <w:spacing w:line="360" w:lineRule="auto"/>
              <w:rPr>
                <w:szCs w:val="24"/>
              </w:rPr>
            </w:pPr>
          </w:p>
        </w:tc>
        <w:tc>
          <w:tcPr>
            <w:tcW w:w="1080" w:type="dxa"/>
          </w:tcPr>
          <w:p w14:paraId="0F9B4727" w14:textId="77777777" w:rsidR="00DF73B1" w:rsidRPr="00297A52" w:rsidRDefault="00DF73B1" w:rsidP="00297A52">
            <w:pPr>
              <w:spacing w:line="360" w:lineRule="auto"/>
              <w:jc w:val="center"/>
              <w:rPr>
                <w:sz w:val="24"/>
                <w:szCs w:val="24"/>
              </w:rPr>
            </w:pPr>
            <w:r w:rsidRPr="00297A52">
              <w:rPr>
                <w:sz w:val="24"/>
                <w:szCs w:val="24"/>
              </w:rPr>
              <w:t>PBI</w:t>
            </w:r>
          </w:p>
        </w:tc>
        <w:tc>
          <w:tcPr>
            <w:tcW w:w="1800" w:type="dxa"/>
          </w:tcPr>
          <w:p w14:paraId="53056298" w14:textId="77777777" w:rsidR="00DF73B1" w:rsidRPr="00297A52" w:rsidRDefault="00DF73B1" w:rsidP="00297A52">
            <w:pPr>
              <w:spacing w:line="360" w:lineRule="auto"/>
              <w:jc w:val="center"/>
              <w:rPr>
                <w:sz w:val="24"/>
                <w:szCs w:val="24"/>
              </w:rPr>
            </w:pPr>
            <w:r w:rsidRPr="00297A52">
              <w:rPr>
                <w:sz w:val="24"/>
                <w:szCs w:val="24"/>
              </w:rPr>
              <w:t>Población</w:t>
            </w:r>
          </w:p>
        </w:tc>
      </w:tr>
      <w:tr w:rsidR="00DF73B1" w:rsidRPr="00297A52" w14:paraId="6EAE4FB8" w14:textId="77777777">
        <w:trPr>
          <w:trHeight w:val="227"/>
        </w:trPr>
        <w:tc>
          <w:tcPr>
            <w:tcW w:w="1800" w:type="dxa"/>
          </w:tcPr>
          <w:p w14:paraId="08F75EF4" w14:textId="77777777" w:rsidR="00DF73B1" w:rsidRPr="00297A52" w:rsidRDefault="00DF73B1" w:rsidP="00297A52">
            <w:pPr>
              <w:spacing w:line="360" w:lineRule="auto"/>
              <w:rPr>
                <w:sz w:val="24"/>
                <w:szCs w:val="24"/>
              </w:rPr>
            </w:pPr>
            <w:r w:rsidRPr="00297A52">
              <w:rPr>
                <w:sz w:val="24"/>
                <w:szCs w:val="24"/>
              </w:rPr>
              <w:t>Buenos Aires</w:t>
            </w:r>
          </w:p>
        </w:tc>
        <w:tc>
          <w:tcPr>
            <w:tcW w:w="1488" w:type="dxa"/>
          </w:tcPr>
          <w:p w14:paraId="15025D3B" w14:textId="77777777" w:rsidR="00DF73B1" w:rsidRPr="00297A52" w:rsidRDefault="00DF73B1" w:rsidP="00297A52">
            <w:pPr>
              <w:spacing w:line="360" w:lineRule="auto"/>
              <w:jc w:val="center"/>
              <w:rPr>
                <w:sz w:val="24"/>
                <w:szCs w:val="24"/>
              </w:rPr>
            </w:pPr>
            <w:r w:rsidRPr="00297A52">
              <w:rPr>
                <w:sz w:val="24"/>
                <w:szCs w:val="24"/>
              </w:rPr>
              <w:t>27.99</w:t>
            </w:r>
          </w:p>
        </w:tc>
        <w:tc>
          <w:tcPr>
            <w:tcW w:w="1572" w:type="dxa"/>
          </w:tcPr>
          <w:p w14:paraId="16BF68D1" w14:textId="77777777" w:rsidR="00DF73B1" w:rsidRPr="00297A52" w:rsidRDefault="00DF73B1" w:rsidP="00297A52">
            <w:pPr>
              <w:spacing w:line="360" w:lineRule="auto"/>
              <w:jc w:val="center"/>
              <w:rPr>
                <w:sz w:val="24"/>
                <w:szCs w:val="24"/>
              </w:rPr>
            </w:pPr>
            <w:r w:rsidRPr="00297A52">
              <w:rPr>
                <w:sz w:val="24"/>
                <w:szCs w:val="24"/>
              </w:rPr>
              <w:t>21.95</w:t>
            </w:r>
          </w:p>
        </w:tc>
        <w:tc>
          <w:tcPr>
            <w:tcW w:w="1080" w:type="dxa"/>
          </w:tcPr>
          <w:p w14:paraId="4824DF3C" w14:textId="77777777" w:rsidR="00DF73B1" w:rsidRPr="00297A52" w:rsidRDefault="00DF73B1" w:rsidP="00297A52">
            <w:pPr>
              <w:spacing w:line="360" w:lineRule="auto"/>
              <w:jc w:val="center"/>
              <w:rPr>
                <w:sz w:val="24"/>
                <w:szCs w:val="24"/>
              </w:rPr>
            </w:pPr>
            <w:r w:rsidRPr="00297A52">
              <w:rPr>
                <w:sz w:val="24"/>
                <w:szCs w:val="24"/>
              </w:rPr>
              <w:t>32.6</w:t>
            </w:r>
          </w:p>
        </w:tc>
        <w:tc>
          <w:tcPr>
            <w:tcW w:w="1800" w:type="dxa"/>
          </w:tcPr>
          <w:p w14:paraId="4994DB4F" w14:textId="77777777" w:rsidR="00DF73B1" w:rsidRPr="00297A52" w:rsidRDefault="00DF73B1" w:rsidP="00297A52">
            <w:pPr>
              <w:spacing w:line="360" w:lineRule="auto"/>
              <w:jc w:val="center"/>
              <w:rPr>
                <w:sz w:val="24"/>
                <w:szCs w:val="24"/>
              </w:rPr>
            </w:pPr>
            <w:r w:rsidRPr="00297A52">
              <w:rPr>
                <w:sz w:val="24"/>
                <w:szCs w:val="24"/>
              </w:rPr>
              <w:t>38.7</w:t>
            </w:r>
          </w:p>
        </w:tc>
      </w:tr>
      <w:tr w:rsidR="00DF73B1" w:rsidRPr="00297A52" w14:paraId="6FED2CD2" w14:textId="77777777">
        <w:trPr>
          <w:trHeight w:val="63"/>
        </w:trPr>
        <w:tc>
          <w:tcPr>
            <w:tcW w:w="1800" w:type="dxa"/>
          </w:tcPr>
          <w:p w14:paraId="303546DF" w14:textId="77777777" w:rsidR="00DF73B1" w:rsidRPr="00297A52" w:rsidRDefault="00DF73B1" w:rsidP="00297A52">
            <w:pPr>
              <w:spacing w:line="360" w:lineRule="auto"/>
              <w:rPr>
                <w:sz w:val="24"/>
                <w:szCs w:val="24"/>
              </w:rPr>
            </w:pPr>
            <w:r w:rsidRPr="00297A52">
              <w:rPr>
                <w:sz w:val="24"/>
                <w:szCs w:val="24"/>
              </w:rPr>
              <w:t>Catamarca</w:t>
            </w:r>
          </w:p>
        </w:tc>
        <w:tc>
          <w:tcPr>
            <w:tcW w:w="1488" w:type="dxa"/>
          </w:tcPr>
          <w:p w14:paraId="06ECAAC3" w14:textId="77777777" w:rsidR="00DF73B1" w:rsidRPr="00297A52" w:rsidRDefault="00DF73B1" w:rsidP="00297A52">
            <w:pPr>
              <w:spacing w:line="360" w:lineRule="auto"/>
              <w:jc w:val="center"/>
              <w:rPr>
                <w:sz w:val="24"/>
                <w:szCs w:val="24"/>
              </w:rPr>
            </w:pPr>
            <w:r w:rsidRPr="00297A52">
              <w:rPr>
                <w:sz w:val="24"/>
                <w:szCs w:val="24"/>
              </w:rPr>
              <w:t>1.92</w:t>
            </w:r>
          </w:p>
        </w:tc>
        <w:tc>
          <w:tcPr>
            <w:tcW w:w="1572" w:type="dxa"/>
          </w:tcPr>
          <w:p w14:paraId="405FB4D6" w14:textId="77777777" w:rsidR="00DF73B1" w:rsidRPr="00297A52" w:rsidRDefault="00DF73B1" w:rsidP="00297A52">
            <w:pPr>
              <w:spacing w:line="360" w:lineRule="auto"/>
              <w:jc w:val="center"/>
              <w:rPr>
                <w:sz w:val="24"/>
                <w:szCs w:val="24"/>
              </w:rPr>
            </w:pPr>
            <w:r w:rsidRPr="00297A52">
              <w:rPr>
                <w:sz w:val="24"/>
                <w:szCs w:val="24"/>
              </w:rPr>
              <w:t>2.75</w:t>
            </w:r>
          </w:p>
        </w:tc>
        <w:tc>
          <w:tcPr>
            <w:tcW w:w="1080" w:type="dxa"/>
          </w:tcPr>
          <w:p w14:paraId="32A93FD9" w14:textId="77777777" w:rsidR="00DF73B1" w:rsidRPr="00297A52" w:rsidRDefault="00DF73B1" w:rsidP="00297A52">
            <w:pPr>
              <w:spacing w:line="360" w:lineRule="auto"/>
              <w:jc w:val="center"/>
              <w:rPr>
                <w:sz w:val="24"/>
                <w:szCs w:val="24"/>
              </w:rPr>
            </w:pPr>
            <w:r w:rsidRPr="00297A52">
              <w:rPr>
                <w:sz w:val="24"/>
                <w:szCs w:val="24"/>
              </w:rPr>
              <w:t>0.5</w:t>
            </w:r>
          </w:p>
        </w:tc>
        <w:tc>
          <w:tcPr>
            <w:tcW w:w="1800" w:type="dxa"/>
          </w:tcPr>
          <w:p w14:paraId="220333F6" w14:textId="77777777" w:rsidR="00DF73B1" w:rsidRPr="00297A52" w:rsidRDefault="00DF73B1" w:rsidP="00297A52">
            <w:pPr>
              <w:spacing w:line="360" w:lineRule="auto"/>
              <w:jc w:val="center"/>
              <w:rPr>
                <w:sz w:val="24"/>
                <w:szCs w:val="24"/>
              </w:rPr>
            </w:pPr>
            <w:r w:rsidRPr="00297A52">
              <w:rPr>
                <w:sz w:val="24"/>
                <w:szCs w:val="24"/>
              </w:rPr>
              <w:t>0.8</w:t>
            </w:r>
          </w:p>
        </w:tc>
      </w:tr>
      <w:tr w:rsidR="00DF73B1" w:rsidRPr="00297A52" w14:paraId="6FD20687" w14:textId="77777777">
        <w:trPr>
          <w:trHeight w:val="227"/>
        </w:trPr>
        <w:tc>
          <w:tcPr>
            <w:tcW w:w="1800" w:type="dxa"/>
          </w:tcPr>
          <w:p w14:paraId="78DD66ED" w14:textId="77777777" w:rsidR="00DF73B1" w:rsidRPr="00297A52" w:rsidRDefault="00DF73B1" w:rsidP="00297A52">
            <w:pPr>
              <w:spacing w:line="360" w:lineRule="auto"/>
              <w:rPr>
                <w:sz w:val="24"/>
                <w:szCs w:val="24"/>
              </w:rPr>
            </w:pPr>
            <w:r w:rsidRPr="00297A52">
              <w:rPr>
                <w:sz w:val="24"/>
                <w:szCs w:val="24"/>
              </w:rPr>
              <w:t>Córdoba</w:t>
            </w:r>
          </w:p>
        </w:tc>
        <w:tc>
          <w:tcPr>
            <w:tcW w:w="1488" w:type="dxa"/>
          </w:tcPr>
          <w:p w14:paraId="60C28F00" w14:textId="77777777" w:rsidR="00DF73B1" w:rsidRPr="00297A52" w:rsidRDefault="00DF73B1" w:rsidP="00297A52">
            <w:pPr>
              <w:spacing w:line="360" w:lineRule="auto"/>
              <w:jc w:val="center"/>
              <w:rPr>
                <w:sz w:val="24"/>
                <w:szCs w:val="24"/>
              </w:rPr>
            </w:pPr>
            <w:r w:rsidRPr="00297A52">
              <w:rPr>
                <w:sz w:val="24"/>
                <w:szCs w:val="24"/>
              </w:rPr>
              <w:t>8.91</w:t>
            </w:r>
          </w:p>
        </w:tc>
        <w:tc>
          <w:tcPr>
            <w:tcW w:w="1572" w:type="dxa"/>
          </w:tcPr>
          <w:p w14:paraId="22F4EB69" w14:textId="77777777" w:rsidR="00DF73B1" w:rsidRPr="00297A52" w:rsidRDefault="00DF73B1" w:rsidP="00297A52">
            <w:pPr>
              <w:spacing w:line="360" w:lineRule="auto"/>
              <w:jc w:val="center"/>
              <w:rPr>
                <w:sz w:val="24"/>
                <w:szCs w:val="24"/>
              </w:rPr>
            </w:pPr>
            <w:r w:rsidRPr="00297A52">
              <w:rPr>
                <w:sz w:val="24"/>
                <w:szCs w:val="24"/>
              </w:rPr>
              <w:t>8.87</w:t>
            </w:r>
          </w:p>
        </w:tc>
        <w:tc>
          <w:tcPr>
            <w:tcW w:w="1080" w:type="dxa"/>
          </w:tcPr>
          <w:p w14:paraId="28F7F104" w14:textId="77777777" w:rsidR="00DF73B1" w:rsidRPr="00297A52" w:rsidRDefault="00DF73B1" w:rsidP="00297A52">
            <w:pPr>
              <w:spacing w:line="360" w:lineRule="auto"/>
              <w:jc w:val="center"/>
              <w:rPr>
                <w:sz w:val="24"/>
                <w:szCs w:val="24"/>
              </w:rPr>
            </w:pPr>
            <w:r w:rsidRPr="00297A52">
              <w:rPr>
                <w:sz w:val="24"/>
                <w:szCs w:val="24"/>
              </w:rPr>
              <w:t>8.0</w:t>
            </w:r>
          </w:p>
        </w:tc>
        <w:tc>
          <w:tcPr>
            <w:tcW w:w="1800" w:type="dxa"/>
          </w:tcPr>
          <w:p w14:paraId="4AE5E013" w14:textId="77777777" w:rsidR="00DF73B1" w:rsidRPr="00297A52" w:rsidRDefault="00DF73B1" w:rsidP="00297A52">
            <w:pPr>
              <w:spacing w:line="360" w:lineRule="auto"/>
              <w:jc w:val="center"/>
              <w:rPr>
                <w:sz w:val="24"/>
                <w:szCs w:val="24"/>
              </w:rPr>
            </w:pPr>
            <w:r w:rsidRPr="00297A52">
              <w:rPr>
                <w:sz w:val="24"/>
                <w:szCs w:val="24"/>
              </w:rPr>
              <w:t>8.5</w:t>
            </w:r>
          </w:p>
        </w:tc>
      </w:tr>
      <w:tr w:rsidR="00DF73B1" w:rsidRPr="00297A52" w14:paraId="13B1BAFF" w14:textId="77777777">
        <w:trPr>
          <w:trHeight w:val="227"/>
        </w:trPr>
        <w:tc>
          <w:tcPr>
            <w:tcW w:w="1800" w:type="dxa"/>
          </w:tcPr>
          <w:p w14:paraId="675149C6" w14:textId="77777777" w:rsidR="00DF73B1" w:rsidRPr="00297A52" w:rsidRDefault="00DF73B1" w:rsidP="00297A52">
            <w:pPr>
              <w:spacing w:line="360" w:lineRule="auto"/>
              <w:rPr>
                <w:sz w:val="24"/>
                <w:szCs w:val="24"/>
              </w:rPr>
            </w:pPr>
            <w:r w:rsidRPr="00297A52">
              <w:rPr>
                <w:sz w:val="24"/>
                <w:szCs w:val="24"/>
              </w:rPr>
              <w:t>Corrientes</w:t>
            </w:r>
          </w:p>
        </w:tc>
        <w:tc>
          <w:tcPr>
            <w:tcW w:w="1488" w:type="dxa"/>
          </w:tcPr>
          <w:p w14:paraId="34881DF4" w14:textId="77777777" w:rsidR="00DF73B1" w:rsidRPr="00297A52" w:rsidRDefault="00DF73B1" w:rsidP="00297A52">
            <w:pPr>
              <w:spacing w:line="360" w:lineRule="auto"/>
              <w:jc w:val="center"/>
              <w:rPr>
                <w:sz w:val="24"/>
                <w:szCs w:val="24"/>
              </w:rPr>
            </w:pPr>
            <w:r w:rsidRPr="00297A52">
              <w:rPr>
                <w:sz w:val="24"/>
                <w:szCs w:val="24"/>
              </w:rPr>
              <w:t>3.79</w:t>
            </w:r>
          </w:p>
        </w:tc>
        <w:tc>
          <w:tcPr>
            <w:tcW w:w="1572" w:type="dxa"/>
          </w:tcPr>
          <w:p w14:paraId="64F1D821" w14:textId="77777777" w:rsidR="00DF73B1" w:rsidRPr="00297A52" w:rsidRDefault="00DF73B1" w:rsidP="00297A52">
            <w:pPr>
              <w:spacing w:line="360" w:lineRule="auto"/>
              <w:jc w:val="center"/>
              <w:rPr>
                <w:sz w:val="24"/>
                <w:szCs w:val="24"/>
              </w:rPr>
            </w:pPr>
            <w:r w:rsidRPr="00297A52">
              <w:rPr>
                <w:sz w:val="24"/>
                <w:szCs w:val="24"/>
              </w:rPr>
              <w:t>3.71</w:t>
            </w:r>
          </w:p>
        </w:tc>
        <w:tc>
          <w:tcPr>
            <w:tcW w:w="1080" w:type="dxa"/>
          </w:tcPr>
          <w:p w14:paraId="2CFD5690" w14:textId="77777777" w:rsidR="00DF73B1" w:rsidRPr="00297A52" w:rsidRDefault="00DF73B1" w:rsidP="00297A52">
            <w:pPr>
              <w:spacing w:line="360" w:lineRule="auto"/>
              <w:jc w:val="center"/>
              <w:rPr>
                <w:sz w:val="24"/>
                <w:szCs w:val="24"/>
              </w:rPr>
            </w:pPr>
            <w:r w:rsidRPr="00297A52">
              <w:rPr>
                <w:sz w:val="24"/>
                <w:szCs w:val="24"/>
              </w:rPr>
              <w:t>1.3</w:t>
            </w:r>
          </w:p>
        </w:tc>
        <w:tc>
          <w:tcPr>
            <w:tcW w:w="1800" w:type="dxa"/>
          </w:tcPr>
          <w:p w14:paraId="0DEE8D5C" w14:textId="77777777" w:rsidR="00DF73B1" w:rsidRPr="00297A52" w:rsidRDefault="00DF73B1" w:rsidP="00297A52">
            <w:pPr>
              <w:spacing w:line="360" w:lineRule="auto"/>
              <w:jc w:val="center"/>
              <w:rPr>
                <w:sz w:val="24"/>
                <w:szCs w:val="24"/>
              </w:rPr>
            </w:pPr>
            <w:r w:rsidRPr="00297A52">
              <w:rPr>
                <w:sz w:val="24"/>
                <w:szCs w:val="24"/>
              </w:rPr>
              <w:t>2.5</w:t>
            </w:r>
          </w:p>
        </w:tc>
      </w:tr>
      <w:tr w:rsidR="00DF73B1" w:rsidRPr="00297A52" w14:paraId="75F9B635" w14:textId="77777777">
        <w:trPr>
          <w:trHeight w:val="184"/>
        </w:trPr>
        <w:tc>
          <w:tcPr>
            <w:tcW w:w="1800" w:type="dxa"/>
          </w:tcPr>
          <w:p w14:paraId="245F816F" w14:textId="77777777" w:rsidR="00DF73B1" w:rsidRPr="00297A52" w:rsidRDefault="00DF73B1" w:rsidP="00297A52">
            <w:pPr>
              <w:spacing w:line="360" w:lineRule="auto"/>
              <w:rPr>
                <w:sz w:val="24"/>
                <w:szCs w:val="24"/>
              </w:rPr>
            </w:pPr>
            <w:r w:rsidRPr="00297A52">
              <w:rPr>
                <w:sz w:val="24"/>
                <w:szCs w:val="24"/>
              </w:rPr>
              <w:t>Chaco</w:t>
            </w:r>
          </w:p>
        </w:tc>
        <w:tc>
          <w:tcPr>
            <w:tcW w:w="1488" w:type="dxa"/>
          </w:tcPr>
          <w:p w14:paraId="7EF54D05" w14:textId="77777777" w:rsidR="00DF73B1" w:rsidRPr="00297A52" w:rsidRDefault="00DF73B1" w:rsidP="00297A52">
            <w:pPr>
              <w:spacing w:line="360" w:lineRule="auto"/>
              <w:jc w:val="center"/>
              <w:rPr>
                <w:sz w:val="24"/>
                <w:szCs w:val="24"/>
              </w:rPr>
            </w:pPr>
            <w:r w:rsidRPr="00297A52">
              <w:rPr>
                <w:sz w:val="24"/>
                <w:szCs w:val="24"/>
              </w:rPr>
              <w:t>4.12</w:t>
            </w:r>
          </w:p>
        </w:tc>
        <w:tc>
          <w:tcPr>
            <w:tcW w:w="1572" w:type="dxa"/>
          </w:tcPr>
          <w:p w14:paraId="2398C6E2" w14:textId="77777777" w:rsidR="00DF73B1" w:rsidRPr="00297A52" w:rsidRDefault="00DF73B1" w:rsidP="00297A52">
            <w:pPr>
              <w:spacing w:line="360" w:lineRule="auto"/>
              <w:jc w:val="center"/>
              <w:rPr>
                <w:sz w:val="24"/>
                <w:szCs w:val="24"/>
              </w:rPr>
            </w:pPr>
            <w:r w:rsidRPr="00297A52">
              <w:rPr>
                <w:sz w:val="24"/>
                <w:szCs w:val="24"/>
              </w:rPr>
              <w:t>4.98</w:t>
            </w:r>
          </w:p>
        </w:tc>
        <w:tc>
          <w:tcPr>
            <w:tcW w:w="1080" w:type="dxa"/>
          </w:tcPr>
          <w:p w14:paraId="37128E90" w14:textId="77777777" w:rsidR="00DF73B1" w:rsidRPr="00297A52" w:rsidRDefault="00DF73B1" w:rsidP="00297A52">
            <w:pPr>
              <w:spacing w:line="360" w:lineRule="auto"/>
              <w:jc w:val="center"/>
              <w:rPr>
                <w:sz w:val="24"/>
                <w:szCs w:val="24"/>
              </w:rPr>
            </w:pPr>
            <w:r w:rsidRPr="00297A52">
              <w:rPr>
                <w:sz w:val="24"/>
                <w:szCs w:val="24"/>
              </w:rPr>
              <w:t>1.3</w:t>
            </w:r>
          </w:p>
        </w:tc>
        <w:tc>
          <w:tcPr>
            <w:tcW w:w="1800" w:type="dxa"/>
          </w:tcPr>
          <w:p w14:paraId="5DF40892" w14:textId="77777777" w:rsidR="00DF73B1" w:rsidRPr="00297A52" w:rsidRDefault="00DF73B1" w:rsidP="00297A52">
            <w:pPr>
              <w:spacing w:line="360" w:lineRule="auto"/>
              <w:jc w:val="center"/>
              <w:rPr>
                <w:sz w:val="24"/>
                <w:szCs w:val="24"/>
              </w:rPr>
            </w:pPr>
            <w:r w:rsidRPr="00297A52">
              <w:rPr>
                <w:sz w:val="24"/>
                <w:szCs w:val="24"/>
              </w:rPr>
              <w:t>2.6</w:t>
            </w:r>
          </w:p>
        </w:tc>
      </w:tr>
      <w:tr w:rsidR="00DF73B1" w:rsidRPr="00297A52" w14:paraId="7B596811" w14:textId="77777777">
        <w:trPr>
          <w:trHeight w:val="213"/>
        </w:trPr>
        <w:tc>
          <w:tcPr>
            <w:tcW w:w="1800" w:type="dxa"/>
          </w:tcPr>
          <w:p w14:paraId="07D0020C" w14:textId="77777777" w:rsidR="00DF73B1" w:rsidRPr="00297A52" w:rsidRDefault="00DF73B1" w:rsidP="00297A52">
            <w:pPr>
              <w:spacing w:line="360" w:lineRule="auto"/>
              <w:rPr>
                <w:sz w:val="24"/>
                <w:szCs w:val="24"/>
              </w:rPr>
            </w:pPr>
            <w:r w:rsidRPr="00297A52">
              <w:rPr>
                <w:sz w:val="24"/>
                <w:szCs w:val="24"/>
              </w:rPr>
              <w:t>Chubut</w:t>
            </w:r>
          </w:p>
        </w:tc>
        <w:tc>
          <w:tcPr>
            <w:tcW w:w="1488" w:type="dxa"/>
          </w:tcPr>
          <w:p w14:paraId="51EB4453" w14:textId="77777777" w:rsidR="00DF73B1" w:rsidRPr="00297A52" w:rsidRDefault="00DF73B1" w:rsidP="00297A52">
            <w:pPr>
              <w:spacing w:line="360" w:lineRule="auto"/>
              <w:jc w:val="center"/>
              <w:rPr>
                <w:sz w:val="24"/>
                <w:szCs w:val="24"/>
              </w:rPr>
            </w:pPr>
            <w:r w:rsidRPr="00297A52">
              <w:rPr>
                <w:sz w:val="24"/>
                <w:szCs w:val="24"/>
              </w:rPr>
              <w:t>1.86</w:t>
            </w:r>
          </w:p>
        </w:tc>
        <w:tc>
          <w:tcPr>
            <w:tcW w:w="1572" w:type="dxa"/>
          </w:tcPr>
          <w:p w14:paraId="49A9064F" w14:textId="77777777" w:rsidR="00DF73B1" w:rsidRPr="00297A52" w:rsidRDefault="00DF73B1" w:rsidP="00297A52">
            <w:pPr>
              <w:spacing w:line="360" w:lineRule="auto"/>
              <w:jc w:val="center"/>
              <w:rPr>
                <w:sz w:val="24"/>
                <w:szCs w:val="24"/>
              </w:rPr>
            </w:pPr>
            <w:r w:rsidRPr="00297A52">
              <w:rPr>
                <w:sz w:val="24"/>
                <w:szCs w:val="24"/>
              </w:rPr>
              <w:t>1.58</w:t>
            </w:r>
          </w:p>
        </w:tc>
        <w:tc>
          <w:tcPr>
            <w:tcW w:w="1080" w:type="dxa"/>
          </w:tcPr>
          <w:p w14:paraId="7463DC96" w14:textId="77777777" w:rsidR="00DF73B1" w:rsidRPr="00297A52" w:rsidRDefault="00DF73B1" w:rsidP="00297A52">
            <w:pPr>
              <w:spacing w:line="360" w:lineRule="auto"/>
              <w:jc w:val="center"/>
              <w:rPr>
                <w:sz w:val="24"/>
                <w:szCs w:val="24"/>
              </w:rPr>
            </w:pPr>
            <w:r w:rsidRPr="00297A52">
              <w:rPr>
                <w:sz w:val="24"/>
                <w:szCs w:val="24"/>
              </w:rPr>
              <w:t>1.3</w:t>
            </w:r>
          </w:p>
        </w:tc>
        <w:tc>
          <w:tcPr>
            <w:tcW w:w="1800" w:type="dxa"/>
          </w:tcPr>
          <w:p w14:paraId="3612692B" w14:textId="77777777" w:rsidR="00DF73B1" w:rsidRPr="00297A52" w:rsidRDefault="00DF73B1" w:rsidP="00297A52">
            <w:pPr>
              <w:spacing w:line="360" w:lineRule="auto"/>
              <w:jc w:val="center"/>
              <w:rPr>
                <w:sz w:val="24"/>
                <w:szCs w:val="24"/>
              </w:rPr>
            </w:pPr>
            <w:r w:rsidRPr="00297A52">
              <w:rPr>
                <w:sz w:val="24"/>
                <w:szCs w:val="24"/>
              </w:rPr>
              <w:t>1.1</w:t>
            </w:r>
          </w:p>
        </w:tc>
      </w:tr>
      <w:tr w:rsidR="00DF73B1" w:rsidRPr="00297A52" w14:paraId="0C6A8136" w14:textId="77777777">
        <w:trPr>
          <w:trHeight w:val="134"/>
        </w:trPr>
        <w:tc>
          <w:tcPr>
            <w:tcW w:w="1800" w:type="dxa"/>
          </w:tcPr>
          <w:p w14:paraId="2FFA3F06" w14:textId="77777777" w:rsidR="00DF73B1" w:rsidRPr="00297A52" w:rsidRDefault="00DF73B1" w:rsidP="00297A52">
            <w:pPr>
              <w:spacing w:line="360" w:lineRule="auto"/>
              <w:rPr>
                <w:sz w:val="24"/>
                <w:szCs w:val="24"/>
              </w:rPr>
            </w:pPr>
            <w:r w:rsidRPr="00297A52">
              <w:rPr>
                <w:sz w:val="24"/>
                <w:szCs w:val="24"/>
              </w:rPr>
              <w:t>Entre Ríos</w:t>
            </w:r>
          </w:p>
        </w:tc>
        <w:tc>
          <w:tcPr>
            <w:tcW w:w="1488" w:type="dxa"/>
          </w:tcPr>
          <w:p w14:paraId="2E50A3EB" w14:textId="77777777" w:rsidR="00DF73B1" w:rsidRPr="00297A52" w:rsidRDefault="00DF73B1" w:rsidP="00297A52">
            <w:pPr>
              <w:spacing w:line="360" w:lineRule="auto"/>
              <w:jc w:val="center"/>
              <w:rPr>
                <w:sz w:val="24"/>
                <w:szCs w:val="24"/>
              </w:rPr>
            </w:pPr>
            <w:r w:rsidRPr="00297A52">
              <w:rPr>
                <w:sz w:val="24"/>
                <w:szCs w:val="24"/>
              </w:rPr>
              <w:t>4.56</w:t>
            </w:r>
          </w:p>
        </w:tc>
        <w:tc>
          <w:tcPr>
            <w:tcW w:w="1572" w:type="dxa"/>
          </w:tcPr>
          <w:p w14:paraId="66AD46EF" w14:textId="77777777" w:rsidR="00DF73B1" w:rsidRPr="00297A52" w:rsidRDefault="00DF73B1" w:rsidP="00297A52">
            <w:pPr>
              <w:spacing w:line="360" w:lineRule="auto"/>
              <w:jc w:val="center"/>
              <w:rPr>
                <w:sz w:val="24"/>
                <w:szCs w:val="24"/>
              </w:rPr>
            </w:pPr>
            <w:r w:rsidRPr="00297A52">
              <w:rPr>
                <w:sz w:val="24"/>
                <w:szCs w:val="24"/>
              </w:rPr>
              <w:t>4.88</w:t>
            </w:r>
          </w:p>
        </w:tc>
        <w:tc>
          <w:tcPr>
            <w:tcW w:w="1080" w:type="dxa"/>
          </w:tcPr>
          <w:p w14:paraId="2087337D" w14:textId="77777777" w:rsidR="00DF73B1" w:rsidRPr="00297A52" w:rsidRDefault="00DF73B1" w:rsidP="00297A52">
            <w:pPr>
              <w:spacing w:line="360" w:lineRule="auto"/>
              <w:jc w:val="center"/>
              <w:rPr>
                <w:sz w:val="24"/>
                <w:szCs w:val="24"/>
              </w:rPr>
            </w:pPr>
            <w:r w:rsidRPr="00297A52">
              <w:rPr>
                <w:sz w:val="24"/>
                <w:szCs w:val="24"/>
              </w:rPr>
              <w:t>2.2</w:t>
            </w:r>
          </w:p>
        </w:tc>
        <w:tc>
          <w:tcPr>
            <w:tcW w:w="1800" w:type="dxa"/>
          </w:tcPr>
          <w:p w14:paraId="7DCF1521" w14:textId="77777777" w:rsidR="00DF73B1" w:rsidRPr="00297A52" w:rsidRDefault="00DF73B1" w:rsidP="00297A52">
            <w:pPr>
              <w:spacing w:line="360" w:lineRule="auto"/>
              <w:jc w:val="center"/>
              <w:rPr>
                <w:sz w:val="24"/>
                <w:szCs w:val="24"/>
              </w:rPr>
            </w:pPr>
            <w:r w:rsidRPr="00297A52">
              <w:rPr>
                <w:sz w:val="24"/>
                <w:szCs w:val="24"/>
              </w:rPr>
              <w:t>3.1</w:t>
            </w:r>
          </w:p>
        </w:tc>
      </w:tr>
      <w:tr w:rsidR="00DF73B1" w:rsidRPr="00297A52" w14:paraId="69D2F645" w14:textId="77777777">
        <w:trPr>
          <w:trHeight w:val="180"/>
        </w:trPr>
        <w:tc>
          <w:tcPr>
            <w:tcW w:w="1800" w:type="dxa"/>
          </w:tcPr>
          <w:p w14:paraId="6CEBAF95" w14:textId="77777777" w:rsidR="00DF73B1" w:rsidRPr="00297A52" w:rsidRDefault="00DF73B1" w:rsidP="00297A52">
            <w:pPr>
              <w:spacing w:line="360" w:lineRule="auto"/>
              <w:rPr>
                <w:sz w:val="24"/>
                <w:szCs w:val="24"/>
              </w:rPr>
            </w:pPr>
            <w:r w:rsidRPr="00297A52">
              <w:rPr>
                <w:sz w:val="24"/>
                <w:szCs w:val="24"/>
              </w:rPr>
              <w:t>Formosa</w:t>
            </w:r>
          </w:p>
        </w:tc>
        <w:tc>
          <w:tcPr>
            <w:tcW w:w="1488" w:type="dxa"/>
          </w:tcPr>
          <w:p w14:paraId="28BBE576" w14:textId="77777777" w:rsidR="00DF73B1" w:rsidRPr="00297A52" w:rsidRDefault="00DF73B1" w:rsidP="00297A52">
            <w:pPr>
              <w:spacing w:line="360" w:lineRule="auto"/>
              <w:jc w:val="center"/>
              <w:rPr>
                <w:sz w:val="24"/>
                <w:szCs w:val="24"/>
              </w:rPr>
            </w:pPr>
            <w:r w:rsidRPr="00297A52">
              <w:rPr>
                <w:sz w:val="24"/>
                <w:szCs w:val="24"/>
              </w:rPr>
              <w:t>2.29</w:t>
            </w:r>
          </w:p>
        </w:tc>
        <w:tc>
          <w:tcPr>
            <w:tcW w:w="1572" w:type="dxa"/>
          </w:tcPr>
          <w:p w14:paraId="4B5E9CEF" w14:textId="77777777" w:rsidR="00DF73B1" w:rsidRPr="00297A52" w:rsidRDefault="00DF73B1" w:rsidP="00297A52">
            <w:pPr>
              <w:spacing w:line="360" w:lineRule="auto"/>
              <w:jc w:val="center"/>
              <w:rPr>
                <w:sz w:val="24"/>
                <w:szCs w:val="24"/>
              </w:rPr>
            </w:pPr>
            <w:r w:rsidRPr="00297A52">
              <w:rPr>
                <w:sz w:val="24"/>
                <w:szCs w:val="24"/>
              </w:rPr>
              <w:t>3.64</w:t>
            </w:r>
          </w:p>
        </w:tc>
        <w:tc>
          <w:tcPr>
            <w:tcW w:w="1080" w:type="dxa"/>
          </w:tcPr>
          <w:p w14:paraId="07B75817" w14:textId="77777777" w:rsidR="00DF73B1" w:rsidRPr="00297A52" w:rsidRDefault="00DF73B1" w:rsidP="00297A52">
            <w:pPr>
              <w:spacing w:line="360" w:lineRule="auto"/>
              <w:jc w:val="center"/>
              <w:rPr>
                <w:sz w:val="24"/>
                <w:szCs w:val="24"/>
              </w:rPr>
            </w:pPr>
            <w:r w:rsidRPr="00297A52">
              <w:rPr>
                <w:sz w:val="24"/>
                <w:szCs w:val="24"/>
              </w:rPr>
              <w:t>0.6</w:t>
            </w:r>
          </w:p>
        </w:tc>
        <w:tc>
          <w:tcPr>
            <w:tcW w:w="1800" w:type="dxa"/>
          </w:tcPr>
          <w:p w14:paraId="1FBB26FA" w14:textId="77777777" w:rsidR="00DF73B1" w:rsidRPr="00297A52" w:rsidRDefault="00DF73B1" w:rsidP="00297A52">
            <w:pPr>
              <w:spacing w:line="360" w:lineRule="auto"/>
              <w:jc w:val="center"/>
              <w:rPr>
                <w:sz w:val="24"/>
                <w:szCs w:val="24"/>
              </w:rPr>
            </w:pPr>
            <w:r w:rsidRPr="00297A52">
              <w:rPr>
                <w:sz w:val="24"/>
                <w:szCs w:val="24"/>
              </w:rPr>
              <w:t>1.2</w:t>
            </w:r>
          </w:p>
        </w:tc>
      </w:tr>
      <w:tr w:rsidR="00DF73B1" w:rsidRPr="00297A52" w14:paraId="7F76C37E" w14:textId="77777777">
        <w:trPr>
          <w:trHeight w:val="187"/>
        </w:trPr>
        <w:tc>
          <w:tcPr>
            <w:tcW w:w="1800" w:type="dxa"/>
          </w:tcPr>
          <w:p w14:paraId="5D3EB0C6" w14:textId="77777777" w:rsidR="00DF73B1" w:rsidRPr="00297A52" w:rsidRDefault="00DF73B1" w:rsidP="00297A52">
            <w:pPr>
              <w:spacing w:line="360" w:lineRule="auto"/>
              <w:rPr>
                <w:sz w:val="24"/>
                <w:szCs w:val="24"/>
              </w:rPr>
            </w:pPr>
            <w:r w:rsidRPr="00297A52">
              <w:rPr>
                <w:sz w:val="24"/>
                <w:szCs w:val="24"/>
              </w:rPr>
              <w:t>Jujuy</w:t>
            </w:r>
          </w:p>
        </w:tc>
        <w:tc>
          <w:tcPr>
            <w:tcW w:w="1488" w:type="dxa"/>
          </w:tcPr>
          <w:p w14:paraId="4910717F" w14:textId="77777777" w:rsidR="00DF73B1" w:rsidRPr="00297A52" w:rsidRDefault="00DF73B1" w:rsidP="00297A52">
            <w:pPr>
              <w:spacing w:line="360" w:lineRule="auto"/>
              <w:jc w:val="center"/>
              <w:rPr>
                <w:sz w:val="24"/>
                <w:szCs w:val="24"/>
              </w:rPr>
            </w:pPr>
            <w:r w:rsidRPr="00297A52">
              <w:rPr>
                <w:sz w:val="24"/>
                <w:szCs w:val="24"/>
              </w:rPr>
              <w:t>2.21</w:t>
            </w:r>
          </w:p>
        </w:tc>
        <w:tc>
          <w:tcPr>
            <w:tcW w:w="1572" w:type="dxa"/>
          </w:tcPr>
          <w:p w14:paraId="16DEFF9D" w14:textId="77777777" w:rsidR="00DF73B1" w:rsidRPr="00297A52" w:rsidRDefault="00DF73B1" w:rsidP="00297A52">
            <w:pPr>
              <w:spacing w:line="360" w:lineRule="auto"/>
              <w:jc w:val="center"/>
              <w:rPr>
                <w:sz w:val="24"/>
                <w:szCs w:val="24"/>
              </w:rPr>
            </w:pPr>
            <w:r w:rsidRPr="00297A52">
              <w:rPr>
                <w:sz w:val="24"/>
                <w:szCs w:val="24"/>
              </w:rPr>
              <w:t>2.84</w:t>
            </w:r>
          </w:p>
        </w:tc>
        <w:tc>
          <w:tcPr>
            <w:tcW w:w="1080" w:type="dxa"/>
          </w:tcPr>
          <w:p w14:paraId="0400E1C9" w14:textId="77777777" w:rsidR="00DF73B1" w:rsidRPr="00297A52" w:rsidRDefault="00DF73B1" w:rsidP="00297A52">
            <w:pPr>
              <w:spacing w:line="360" w:lineRule="auto"/>
              <w:jc w:val="center"/>
              <w:rPr>
                <w:sz w:val="24"/>
                <w:szCs w:val="24"/>
              </w:rPr>
            </w:pPr>
            <w:r w:rsidRPr="00297A52">
              <w:rPr>
                <w:sz w:val="24"/>
                <w:szCs w:val="24"/>
              </w:rPr>
              <w:t>0.9</w:t>
            </w:r>
          </w:p>
        </w:tc>
        <w:tc>
          <w:tcPr>
            <w:tcW w:w="1800" w:type="dxa"/>
          </w:tcPr>
          <w:p w14:paraId="30E294E4" w14:textId="77777777" w:rsidR="00DF73B1" w:rsidRPr="00297A52" w:rsidRDefault="00DF73B1" w:rsidP="00297A52">
            <w:pPr>
              <w:spacing w:line="360" w:lineRule="auto"/>
              <w:jc w:val="center"/>
              <w:rPr>
                <w:sz w:val="24"/>
                <w:szCs w:val="24"/>
              </w:rPr>
            </w:pPr>
            <w:r w:rsidRPr="00297A52">
              <w:rPr>
                <w:sz w:val="24"/>
                <w:szCs w:val="24"/>
              </w:rPr>
              <w:t>1.6</w:t>
            </w:r>
          </w:p>
        </w:tc>
      </w:tr>
      <w:tr w:rsidR="00DF73B1" w:rsidRPr="00297A52" w14:paraId="00579DA9" w14:textId="77777777">
        <w:trPr>
          <w:trHeight w:val="116"/>
        </w:trPr>
        <w:tc>
          <w:tcPr>
            <w:tcW w:w="1800" w:type="dxa"/>
          </w:tcPr>
          <w:p w14:paraId="0A36C2B8" w14:textId="77777777" w:rsidR="00DF73B1" w:rsidRPr="00297A52" w:rsidRDefault="00DF73B1" w:rsidP="00297A52">
            <w:pPr>
              <w:spacing w:line="360" w:lineRule="auto"/>
              <w:rPr>
                <w:sz w:val="24"/>
                <w:szCs w:val="24"/>
              </w:rPr>
            </w:pPr>
            <w:r w:rsidRPr="00297A52">
              <w:rPr>
                <w:sz w:val="24"/>
                <w:szCs w:val="24"/>
              </w:rPr>
              <w:t>La Pampa</w:t>
            </w:r>
          </w:p>
        </w:tc>
        <w:tc>
          <w:tcPr>
            <w:tcW w:w="1488" w:type="dxa"/>
          </w:tcPr>
          <w:p w14:paraId="71D8CFC1" w14:textId="77777777" w:rsidR="00DF73B1" w:rsidRPr="00297A52" w:rsidRDefault="00DF73B1" w:rsidP="00297A52">
            <w:pPr>
              <w:spacing w:line="360" w:lineRule="auto"/>
              <w:jc w:val="center"/>
              <w:rPr>
                <w:sz w:val="24"/>
                <w:szCs w:val="24"/>
              </w:rPr>
            </w:pPr>
            <w:r w:rsidRPr="00297A52">
              <w:rPr>
                <w:sz w:val="24"/>
                <w:szCs w:val="24"/>
              </w:rPr>
              <w:t>1.79</w:t>
            </w:r>
          </w:p>
        </w:tc>
        <w:tc>
          <w:tcPr>
            <w:tcW w:w="1572" w:type="dxa"/>
          </w:tcPr>
          <w:p w14:paraId="25A700D2" w14:textId="77777777" w:rsidR="00DF73B1" w:rsidRPr="00297A52" w:rsidRDefault="00DF73B1" w:rsidP="00297A52">
            <w:pPr>
              <w:spacing w:line="360" w:lineRule="auto"/>
              <w:jc w:val="center"/>
              <w:rPr>
                <w:sz w:val="24"/>
                <w:szCs w:val="24"/>
              </w:rPr>
            </w:pPr>
            <w:r w:rsidRPr="00297A52">
              <w:rPr>
                <w:sz w:val="24"/>
                <w:szCs w:val="24"/>
              </w:rPr>
              <w:t>1.88</w:t>
            </w:r>
          </w:p>
        </w:tc>
        <w:tc>
          <w:tcPr>
            <w:tcW w:w="1080" w:type="dxa"/>
          </w:tcPr>
          <w:p w14:paraId="12D74CBD" w14:textId="77777777" w:rsidR="00DF73B1" w:rsidRPr="00297A52" w:rsidRDefault="00DF73B1" w:rsidP="00297A52">
            <w:pPr>
              <w:spacing w:line="360" w:lineRule="auto"/>
              <w:jc w:val="center"/>
              <w:rPr>
                <w:sz w:val="24"/>
                <w:szCs w:val="24"/>
              </w:rPr>
            </w:pPr>
            <w:r w:rsidRPr="00297A52">
              <w:rPr>
                <w:sz w:val="24"/>
                <w:szCs w:val="24"/>
              </w:rPr>
              <w:t>0.9</w:t>
            </w:r>
          </w:p>
        </w:tc>
        <w:tc>
          <w:tcPr>
            <w:tcW w:w="1800" w:type="dxa"/>
          </w:tcPr>
          <w:p w14:paraId="68A796F8" w14:textId="77777777" w:rsidR="00DF73B1" w:rsidRPr="00297A52" w:rsidRDefault="00DF73B1" w:rsidP="00297A52">
            <w:pPr>
              <w:spacing w:line="360" w:lineRule="auto"/>
              <w:jc w:val="center"/>
              <w:rPr>
                <w:sz w:val="24"/>
                <w:szCs w:val="24"/>
              </w:rPr>
            </w:pPr>
            <w:r w:rsidRPr="00297A52">
              <w:rPr>
                <w:sz w:val="24"/>
                <w:szCs w:val="24"/>
              </w:rPr>
              <w:t>0.8</w:t>
            </w:r>
          </w:p>
        </w:tc>
      </w:tr>
      <w:tr w:rsidR="00DF73B1" w:rsidRPr="00297A52" w14:paraId="2055C8AB" w14:textId="77777777">
        <w:trPr>
          <w:trHeight w:val="149"/>
        </w:trPr>
        <w:tc>
          <w:tcPr>
            <w:tcW w:w="1800" w:type="dxa"/>
          </w:tcPr>
          <w:p w14:paraId="3C480FA5" w14:textId="77777777" w:rsidR="00DF73B1" w:rsidRPr="00297A52" w:rsidRDefault="00DF73B1" w:rsidP="00297A52">
            <w:pPr>
              <w:spacing w:line="360" w:lineRule="auto"/>
              <w:rPr>
                <w:sz w:val="24"/>
                <w:szCs w:val="24"/>
              </w:rPr>
            </w:pPr>
            <w:r w:rsidRPr="00297A52">
              <w:rPr>
                <w:sz w:val="24"/>
                <w:szCs w:val="24"/>
              </w:rPr>
              <w:t>La Rioja</w:t>
            </w:r>
          </w:p>
        </w:tc>
        <w:tc>
          <w:tcPr>
            <w:tcW w:w="1488" w:type="dxa"/>
          </w:tcPr>
          <w:p w14:paraId="338D1013" w14:textId="77777777" w:rsidR="00DF73B1" w:rsidRPr="00297A52" w:rsidRDefault="00DF73B1" w:rsidP="00297A52">
            <w:pPr>
              <w:spacing w:line="360" w:lineRule="auto"/>
              <w:jc w:val="center"/>
              <w:rPr>
                <w:sz w:val="24"/>
                <w:szCs w:val="24"/>
              </w:rPr>
            </w:pPr>
            <w:r w:rsidRPr="00297A52">
              <w:rPr>
                <w:sz w:val="24"/>
                <w:szCs w:val="24"/>
              </w:rPr>
              <w:t>1.73</w:t>
            </w:r>
          </w:p>
        </w:tc>
        <w:tc>
          <w:tcPr>
            <w:tcW w:w="1572" w:type="dxa"/>
          </w:tcPr>
          <w:p w14:paraId="45AE76AE" w14:textId="77777777" w:rsidR="00DF73B1" w:rsidRPr="00297A52" w:rsidRDefault="00DF73B1" w:rsidP="00297A52">
            <w:pPr>
              <w:spacing w:line="360" w:lineRule="auto"/>
              <w:jc w:val="center"/>
              <w:rPr>
                <w:sz w:val="24"/>
                <w:szCs w:val="24"/>
              </w:rPr>
            </w:pPr>
            <w:r w:rsidRPr="00297A52">
              <w:rPr>
                <w:sz w:val="24"/>
                <w:szCs w:val="24"/>
              </w:rPr>
              <w:t>2.07</w:t>
            </w:r>
          </w:p>
        </w:tc>
        <w:tc>
          <w:tcPr>
            <w:tcW w:w="1080" w:type="dxa"/>
          </w:tcPr>
          <w:p w14:paraId="510BB984" w14:textId="77777777" w:rsidR="00DF73B1" w:rsidRPr="00297A52" w:rsidRDefault="00DF73B1" w:rsidP="00297A52">
            <w:pPr>
              <w:spacing w:line="360" w:lineRule="auto"/>
              <w:jc w:val="center"/>
              <w:rPr>
                <w:sz w:val="24"/>
                <w:szCs w:val="24"/>
              </w:rPr>
            </w:pPr>
            <w:r w:rsidRPr="00297A52">
              <w:rPr>
                <w:sz w:val="24"/>
                <w:szCs w:val="24"/>
              </w:rPr>
              <w:t>0.5</w:t>
            </w:r>
          </w:p>
        </w:tc>
        <w:tc>
          <w:tcPr>
            <w:tcW w:w="1800" w:type="dxa"/>
          </w:tcPr>
          <w:p w14:paraId="49D8E1A8" w14:textId="77777777" w:rsidR="00DF73B1" w:rsidRPr="00297A52" w:rsidRDefault="00DF73B1" w:rsidP="00297A52">
            <w:pPr>
              <w:spacing w:line="360" w:lineRule="auto"/>
              <w:jc w:val="center"/>
              <w:rPr>
                <w:sz w:val="24"/>
                <w:szCs w:val="24"/>
              </w:rPr>
            </w:pPr>
            <w:r w:rsidRPr="00297A52">
              <w:rPr>
                <w:sz w:val="24"/>
                <w:szCs w:val="24"/>
              </w:rPr>
              <w:t>0.7</w:t>
            </w:r>
          </w:p>
        </w:tc>
      </w:tr>
      <w:tr w:rsidR="00DF73B1" w:rsidRPr="00297A52" w14:paraId="3F6362E9" w14:textId="77777777">
        <w:trPr>
          <w:trHeight w:val="174"/>
        </w:trPr>
        <w:tc>
          <w:tcPr>
            <w:tcW w:w="1800" w:type="dxa"/>
          </w:tcPr>
          <w:p w14:paraId="16000B69" w14:textId="77777777" w:rsidR="00DF73B1" w:rsidRPr="00297A52" w:rsidRDefault="00DF73B1" w:rsidP="00297A52">
            <w:pPr>
              <w:spacing w:line="360" w:lineRule="auto"/>
              <w:rPr>
                <w:sz w:val="24"/>
                <w:szCs w:val="24"/>
              </w:rPr>
            </w:pPr>
            <w:r w:rsidRPr="00297A52">
              <w:rPr>
                <w:sz w:val="24"/>
                <w:szCs w:val="24"/>
              </w:rPr>
              <w:t>Mendoza</w:t>
            </w:r>
          </w:p>
        </w:tc>
        <w:tc>
          <w:tcPr>
            <w:tcW w:w="1488" w:type="dxa"/>
          </w:tcPr>
          <w:p w14:paraId="1AC272F8" w14:textId="77777777" w:rsidR="00DF73B1" w:rsidRPr="00297A52" w:rsidRDefault="00DF73B1" w:rsidP="00297A52">
            <w:pPr>
              <w:spacing w:line="360" w:lineRule="auto"/>
              <w:jc w:val="center"/>
              <w:rPr>
                <w:sz w:val="24"/>
                <w:szCs w:val="24"/>
              </w:rPr>
            </w:pPr>
            <w:r w:rsidRPr="00297A52">
              <w:rPr>
                <w:sz w:val="24"/>
                <w:szCs w:val="24"/>
              </w:rPr>
              <w:t>4.72</w:t>
            </w:r>
          </w:p>
        </w:tc>
        <w:tc>
          <w:tcPr>
            <w:tcW w:w="1572" w:type="dxa"/>
          </w:tcPr>
          <w:p w14:paraId="30C153EF" w14:textId="77777777" w:rsidR="00DF73B1" w:rsidRPr="00297A52" w:rsidRDefault="00DF73B1" w:rsidP="00297A52">
            <w:pPr>
              <w:spacing w:line="360" w:lineRule="auto"/>
              <w:jc w:val="center"/>
              <w:rPr>
                <w:sz w:val="24"/>
                <w:szCs w:val="24"/>
              </w:rPr>
            </w:pPr>
            <w:r w:rsidRPr="00297A52">
              <w:rPr>
                <w:sz w:val="24"/>
                <w:szCs w:val="24"/>
              </w:rPr>
              <w:t>4.17</w:t>
            </w:r>
          </w:p>
        </w:tc>
        <w:tc>
          <w:tcPr>
            <w:tcW w:w="1080" w:type="dxa"/>
          </w:tcPr>
          <w:p w14:paraId="03BDC860" w14:textId="77777777" w:rsidR="00DF73B1" w:rsidRPr="00297A52" w:rsidRDefault="00DF73B1" w:rsidP="00297A52">
            <w:pPr>
              <w:spacing w:line="360" w:lineRule="auto"/>
              <w:jc w:val="center"/>
              <w:rPr>
                <w:sz w:val="24"/>
                <w:szCs w:val="24"/>
              </w:rPr>
            </w:pPr>
            <w:r w:rsidRPr="00297A52">
              <w:rPr>
                <w:sz w:val="24"/>
                <w:szCs w:val="24"/>
              </w:rPr>
              <w:t>4.0</w:t>
            </w:r>
          </w:p>
        </w:tc>
        <w:tc>
          <w:tcPr>
            <w:tcW w:w="1800" w:type="dxa"/>
          </w:tcPr>
          <w:p w14:paraId="22BCC878" w14:textId="77777777" w:rsidR="00DF73B1" w:rsidRPr="00297A52" w:rsidRDefault="00DF73B1" w:rsidP="00297A52">
            <w:pPr>
              <w:spacing w:line="360" w:lineRule="auto"/>
              <w:jc w:val="center"/>
              <w:rPr>
                <w:sz w:val="24"/>
                <w:szCs w:val="24"/>
              </w:rPr>
            </w:pPr>
            <w:r w:rsidRPr="00297A52">
              <w:rPr>
                <w:sz w:val="24"/>
                <w:szCs w:val="24"/>
              </w:rPr>
              <w:t>4.3</w:t>
            </w:r>
          </w:p>
        </w:tc>
      </w:tr>
      <w:tr w:rsidR="00DF73B1" w:rsidRPr="00297A52" w14:paraId="1E6DC169" w14:textId="77777777">
        <w:trPr>
          <w:trHeight w:val="174"/>
        </w:trPr>
        <w:tc>
          <w:tcPr>
            <w:tcW w:w="1800" w:type="dxa"/>
          </w:tcPr>
          <w:p w14:paraId="62D64AC7" w14:textId="77777777" w:rsidR="00DF73B1" w:rsidRPr="00297A52" w:rsidRDefault="00DF73B1" w:rsidP="00297A52">
            <w:pPr>
              <w:spacing w:line="360" w:lineRule="auto"/>
              <w:rPr>
                <w:sz w:val="24"/>
                <w:szCs w:val="24"/>
              </w:rPr>
            </w:pPr>
            <w:r w:rsidRPr="00297A52">
              <w:rPr>
                <w:sz w:val="24"/>
                <w:szCs w:val="24"/>
              </w:rPr>
              <w:t>Misiones</w:t>
            </w:r>
          </w:p>
        </w:tc>
        <w:tc>
          <w:tcPr>
            <w:tcW w:w="1488" w:type="dxa"/>
          </w:tcPr>
          <w:p w14:paraId="51FF8EBB" w14:textId="77777777" w:rsidR="00DF73B1" w:rsidRPr="00297A52" w:rsidRDefault="00DF73B1" w:rsidP="00297A52">
            <w:pPr>
              <w:spacing w:line="360" w:lineRule="auto"/>
              <w:jc w:val="center"/>
              <w:rPr>
                <w:sz w:val="24"/>
                <w:szCs w:val="24"/>
              </w:rPr>
            </w:pPr>
            <w:r w:rsidRPr="00297A52">
              <w:rPr>
                <w:sz w:val="24"/>
                <w:szCs w:val="24"/>
              </w:rPr>
              <w:t>2.97</w:t>
            </w:r>
          </w:p>
        </w:tc>
        <w:tc>
          <w:tcPr>
            <w:tcW w:w="1572" w:type="dxa"/>
          </w:tcPr>
          <w:p w14:paraId="54137EFD" w14:textId="77777777" w:rsidR="00DF73B1" w:rsidRPr="00297A52" w:rsidRDefault="00DF73B1" w:rsidP="00297A52">
            <w:pPr>
              <w:spacing w:line="360" w:lineRule="auto"/>
              <w:jc w:val="center"/>
              <w:rPr>
                <w:sz w:val="24"/>
                <w:szCs w:val="24"/>
              </w:rPr>
            </w:pPr>
            <w:r w:rsidRPr="00297A52">
              <w:rPr>
                <w:sz w:val="24"/>
                <w:szCs w:val="24"/>
              </w:rPr>
              <w:t>3.30</w:t>
            </w:r>
          </w:p>
        </w:tc>
        <w:tc>
          <w:tcPr>
            <w:tcW w:w="1080" w:type="dxa"/>
          </w:tcPr>
          <w:p w14:paraId="0AFB8EB3" w14:textId="77777777" w:rsidR="00DF73B1" w:rsidRPr="00297A52" w:rsidRDefault="00DF73B1" w:rsidP="00297A52">
            <w:pPr>
              <w:spacing w:line="360" w:lineRule="auto"/>
              <w:jc w:val="center"/>
              <w:rPr>
                <w:sz w:val="24"/>
                <w:szCs w:val="24"/>
              </w:rPr>
            </w:pPr>
            <w:r w:rsidRPr="00297A52">
              <w:rPr>
                <w:sz w:val="24"/>
                <w:szCs w:val="24"/>
              </w:rPr>
              <w:t>1.4</w:t>
            </w:r>
          </w:p>
        </w:tc>
        <w:tc>
          <w:tcPr>
            <w:tcW w:w="1800" w:type="dxa"/>
          </w:tcPr>
          <w:p w14:paraId="6F9E13E2" w14:textId="77777777" w:rsidR="00DF73B1" w:rsidRPr="00297A52" w:rsidRDefault="00DF73B1" w:rsidP="00297A52">
            <w:pPr>
              <w:spacing w:line="360" w:lineRule="auto"/>
              <w:jc w:val="center"/>
              <w:rPr>
                <w:sz w:val="24"/>
                <w:szCs w:val="24"/>
              </w:rPr>
            </w:pPr>
            <w:r w:rsidRPr="00297A52">
              <w:rPr>
                <w:sz w:val="24"/>
                <w:szCs w:val="24"/>
              </w:rPr>
              <w:t>2.4</w:t>
            </w:r>
          </w:p>
        </w:tc>
      </w:tr>
      <w:tr w:rsidR="00DF73B1" w:rsidRPr="00297A52" w14:paraId="4D288838" w14:textId="77777777">
        <w:trPr>
          <w:trHeight w:val="130"/>
        </w:trPr>
        <w:tc>
          <w:tcPr>
            <w:tcW w:w="1800" w:type="dxa"/>
          </w:tcPr>
          <w:p w14:paraId="73A199CE" w14:textId="77777777" w:rsidR="00DF73B1" w:rsidRPr="00297A52" w:rsidRDefault="00DF73B1" w:rsidP="00297A52">
            <w:pPr>
              <w:spacing w:line="360" w:lineRule="auto"/>
              <w:rPr>
                <w:sz w:val="24"/>
                <w:szCs w:val="24"/>
              </w:rPr>
            </w:pPr>
            <w:r w:rsidRPr="00297A52">
              <w:rPr>
                <w:sz w:val="24"/>
                <w:szCs w:val="24"/>
              </w:rPr>
              <w:t>Neuquén</w:t>
            </w:r>
          </w:p>
        </w:tc>
        <w:tc>
          <w:tcPr>
            <w:tcW w:w="1488" w:type="dxa"/>
          </w:tcPr>
          <w:p w14:paraId="19966AAD" w14:textId="77777777" w:rsidR="00DF73B1" w:rsidRPr="00297A52" w:rsidRDefault="00DF73B1" w:rsidP="00297A52">
            <w:pPr>
              <w:spacing w:line="360" w:lineRule="auto"/>
              <w:jc w:val="center"/>
              <w:rPr>
                <w:sz w:val="24"/>
                <w:szCs w:val="24"/>
              </w:rPr>
            </w:pPr>
            <w:r w:rsidRPr="00297A52">
              <w:rPr>
                <w:sz w:val="24"/>
                <w:szCs w:val="24"/>
              </w:rPr>
              <w:t>1.71</w:t>
            </w:r>
          </w:p>
        </w:tc>
        <w:tc>
          <w:tcPr>
            <w:tcW w:w="1572" w:type="dxa"/>
          </w:tcPr>
          <w:p w14:paraId="3A87259F" w14:textId="77777777" w:rsidR="00DF73B1" w:rsidRPr="00297A52" w:rsidRDefault="00DF73B1" w:rsidP="00297A52">
            <w:pPr>
              <w:spacing w:line="360" w:lineRule="auto"/>
              <w:jc w:val="center"/>
              <w:rPr>
                <w:sz w:val="24"/>
                <w:szCs w:val="24"/>
              </w:rPr>
            </w:pPr>
            <w:r w:rsidRPr="00297A52">
              <w:rPr>
                <w:sz w:val="24"/>
                <w:szCs w:val="24"/>
              </w:rPr>
              <w:t>1.73</w:t>
            </w:r>
          </w:p>
        </w:tc>
        <w:tc>
          <w:tcPr>
            <w:tcW w:w="1080" w:type="dxa"/>
          </w:tcPr>
          <w:p w14:paraId="6DBB1622" w14:textId="77777777" w:rsidR="00DF73B1" w:rsidRPr="00297A52" w:rsidRDefault="00DF73B1" w:rsidP="00297A52">
            <w:pPr>
              <w:spacing w:line="360" w:lineRule="auto"/>
              <w:jc w:val="center"/>
              <w:rPr>
                <w:sz w:val="24"/>
                <w:szCs w:val="24"/>
              </w:rPr>
            </w:pPr>
            <w:r w:rsidRPr="00297A52">
              <w:rPr>
                <w:sz w:val="24"/>
                <w:szCs w:val="24"/>
              </w:rPr>
              <w:t>1.9</w:t>
            </w:r>
          </w:p>
        </w:tc>
        <w:tc>
          <w:tcPr>
            <w:tcW w:w="1800" w:type="dxa"/>
          </w:tcPr>
          <w:p w14:paraId="3D4CFA3B" w14:textId="77777777" w:rsidR="00DF73B1" w:rsidRPr="00297A52" w:rsidRDefault="00DF73B1" w:rsidP="00297A52">
            <w:pPr>
              <w:spacing w:line="360" w:lineRule="auto"/>
              <w:jc w:val="center"/>
              <w:rPr>
                <w:sz w:val="24"/>
                <w:szCs w:val="24"/>
              </w:rPr>
            </w:pPr>
            <w:r w:rsidRPr="00297A52">
              <w:rPr>
                <w:sz w:val="24"/>
                <w:szCs w:val="24"/>
              </w:rPr>
              <w:t>1.2</w:t>
            </w:r>
          </w:p>
        </w:tc>
      </w:tr>
      <w:tr w:rsidR="00DF73B1" w:rsidRPr="00297A52" w14:paraId="56284446" w14:textId="77777777">
        <w:trPr>
          <w:trHeight w:val="176"/>
        </w:trPr>
        <w:tc>
          <w:tcPr>
            <w:tcW w:w="1800" w:type="dxa"/>
          </w:tcPr>
          <w:p w14:paraId="26FE9D91" w14:textId="77777777" w:rsidR="00DF73B1" w:rsidRPr="00297A52" w:rsidRDefault="00DF73B1" w:rsidP="00297A52">
            <w:pPr>
              <w:spacing w:line="360" w:lineRule="auto"/>
              <w:rPr>
                <w:sz w:val="24"/>
                <w:szCs w:val="24"/>
              </w:rPr>
            </w:pPr>
            <w:r w:rsidRPr="00297A52">
              <w:rPr>
                <w:sz w:val="24"/>
                <w:szCs w:val="24"/>
              </w:rPr>
              <w:t>Río Negro</w:t>
            </w:r>
          </w:p>
        </w:tc>
        <w:tc>
          <w:tcPr>
            <w:tcW w:w="1488" w:type="dxa"/>
          </w:tcPr>
          <w:p w14:paraId="10EF999F" w14:textId="77777777" w:rsidR="00DF73B1" w:rsidRPr="00297A52" w:rsidRDefault="00DF73B1" w:rsidP="00297A52">
            <w:pPr>
              <w:spacing w:line="360" w:lineRule="auto"/>
              <w:jc w:val="center"/>
              <w:rPr>
                <w:sz w:val="24"/>
                <w:szCs w:val="24"/>
              </w:rPr>
            </w:pPr>
            <w:r w:rsidRPr="00297A52">
              <w:rPr>
                <w:sz w:val="24"/>
                <w:szCs w:val="24"/>
              </w:rPr>
              <w:t>2.29</w:t>
            </w:r>
          </w:p>
        </w:tc>
        <w:tc>
          <w:tcPr>
            <w:tcW w:w="1572" w:type="dxa"/>
          </w:tcPr>
          <w:p w14:paraId="52E52959" w14:textId="77777777" w:rsidR="00DF73B1" w:rsidRPr="00297A52" w:rsidRDefault="00DF73B1" w:rsidP="00297A52">
            <w:pPr>
              <w:spacing w:line="360" w:lineRule="auto"/>
              <w:jc w:val="center"/>
              <w:rPr>
                <w:sz w:val="24"/>
                <w:szCs w:val="24"/>
              </w:rPr>
            </w:pPr>
            <w:r w:rsidRPr="00297A52">
              <w:rPr>
                <w:sz w:val="24"/>
                <w:szCs w:val="24"/>
              </w:rPr>
              <w:t>2.52</w:t>
            </w:r>
          </w:p>
        </w:tc>
        <w:tc>
          <w:tcPr>
            <w:tcW w:w="1080" w:type="dxa"/>
          </w:tcPr>
          <w:p w14:paraId="3C702B33" w14:textId="77777777" w:rsidR="00DF73B1" w:rsidRPr="00297A52" w:rsidRDefault="00DF73B1" w:rsidP="00297A52">
            <w:pPr>
              <w:spacing w:line="360" w:lineRule="auto"/>
              <w:jc w:val="center"/>
              <w:rPr>
                <w:sz w:val="24"/>
                <w:szCs w:val="24"/>
              </w:rPr>
            </w:pPr>
            <w:r w:rsidRPr="00297A52">
              <w:rPr>
                <w:sz w:val="24"/>
                <w:szCs w:val="24"/>
              </w:rPr>
              <w:t>1.5</w:t>
            </w:r>
          </w:p>
        </w:tc>
        <w:tc>
          <w:tcPr>
            <w:tcW w:w="1800" w:type="dxa"/>
          </w:tcPr>
          <w:p w14:paraId="363624A3" w14:textId="77777777" w:rsidR="00DF73B1" w:rsidRPr="00297A52" w:rsidRDefault="00DF73B1" w:rsidP="00297A52">
            <w:pPr>
              <w:spacing w:line="360" w:lineRule="auto"/>
              <w:jc w:val="center"/>
              <w:rPr>
                <w:sz w:val="24"/>
                <w:szCs w:val="24"/>
              </w:rPr>
            </w:pPr>
            <w:r w:rsidRPr="00297A52">
              <w:rPr>
                <w:sz w:val="24"/>
                <w:szCs w:val="24"/>
              </w:rPr>
              <w:t>1.6</w:t>
            </w:r>
          </w:p>
        </w:tc>
      </w:tr>
      <w:tr w:rsidR="00DF73B1" w:rsidRPr="00297A52" w14:paraId="2D611DA9" w14:textId="77777777">
        <w:trPr>
          <w:trHeight w:val="200"/>
        </w:trPr>
        <w:tc>
          <w:tcPr>
            <w:tcW w:w="1800" w:type="dxa"/>
          </w:tcPr>
          <w:p w14:paraId="61D02112" w14:textId="77777777" w:rsidR="00DF73B1" w:rsidRPr="00297A52" w:rsidRDefault="00DF73B1" w:rsidP="00297A52">
            <w:pPr>
              <w:spacing w:line="360" w:lineRule="auto"/>
              <w:rPr>
                <w:sz w:val="24"/>
                <w:szCs w:val="24"/>
              </w:rPr>
            </w:pPr>
            <w:r w:rsidRPr="00297A52">
              <w:rPr>
                <w:sz w:val="24"/>
                <w:szCs w:val="24"/>
              </w:rPr>
              <w:t>Salta</w:t>
            </w:r>
          </w:p>
        </w:tc>
        <w:tc>
          <w:tcPr>
            <w:tcW w:w="1488" w:type="dxa"/>
          </w:tcPr>
          <w:p w14:paraId="0891A21C" w14:textId="77777777" w:rsidR="00DF73B1" w:rsidRPr="00297A52" w:rsidRDefault="00DF73B1" w:rsidP="00297A52">
            <w:pPr>
              <w:spacing w:line="360" w:lineRule="auto"/>
              <w:jc w:val="center"/>
              <w:rPr>
                <w:sz w:val="24"/>
                <w:szCs w:val="24"/>
              </w:rPr>
            </w:pPr>
            <w:r w:rsidRPr="00297A52">
              <w:rPr>
                <w:sz w:val="24"/>
                <w:szCs w:val="24"/>
              </w:rPr>
              <w:t>3.75</w:t>
            </w:r>
          </w:p>
        </w:tc>
        <w:tc>
          <w:tcPr>
            <w:tcW w:w="1572" w:type="dxa"/>
          </w:tcPr>
          <w:p w14:paraId="5604B53B" w14:textId="77777777" w:rsidR="00DF73B1" w:rsidRPr="00297A52" w:rsidRDefault="00DF73B1" w:rsidP="00297A52">
            <w:pPr>
              <w:spacing w:line="360" w:lineRule="auto"/>
              <w:jc w:val="center"/>
              <w:rPr>
                <w:sz w:val="24"/>
                <w:szCs w:val="24"/>
              </w:rPr>
            </w:pPr>
            <w:r w:rsidRPr="00297A52">
              <w:rPr>
                <w:sz w:val="24"/>
                <w:szCs w:val="24"/>
              </w:rPr>
              <w:t>3.87</w:t>
            </w:r>
          </w:p>
        </w:tc>
        <w:tc>
          <w:tcPr>
            <w:tcW w:w="1080" w:type="dxa"/>
          </w:tcPr>
          <w:p w14:paraId="0DA986F5" w14:textId="77777777" w:rsidR="00DF73B1" w:rsidRPr="00297A52" w:rsidRDefault="00DF73B1" w:rsidP="00297A52">
            <w:pPr>
              <w:spacing w:line="360" w:lineRule="auto"/>
              <w:jc w:val="center"/>
              <w:rPr>
                <w:sz w:val="24"/>
                <w:szCs w:val="24"/>
              </w:rPr>
            </w:pPr>
            <w:r w:rsidRPr="00297A52">
              <w:rPr>
                <w:sz w:val="24"/>
                <w:szCs w:val="24"/>
              </w:rPr>
              <w:t>1.5</w:t>
            </w:r>
          </w:p>
        </w:tc>
        <w:tc>
          <w:tcPr>
            <w:tcW w:w="1800" w:type="dxa"/>
          </w:tcPr>
          <w:p w14:paraId="3BAB1568" w14:textId="77777777" w:rsidR="00DF73B1" w:rsidRPr="00297A52" w:rsidRDefault="00DF73B1" w:rsidP="00297A52">
            <w:pPr>
              <w:spacing w:line="360" w:lineRule="auto"/>
              <w:jc w:val="center"/>
              <w:rPr>
                <w:sz w:val="24"/>
                <w:szCs w:val="24"/>
              </w:rPr>
            </w:pPr>
            <w:r w:rsidRPr="00297A52">
              <w:rPr>
                <w:sz w:val="24"/>
                <w:szCs w:val="24"/>
              </w:rPr>
              <w:t>2.7</w:t>
            </w:r>
          </w:p>
        </w:tc>
      </w:tr>
      <w:tr w:rsidR="00DF73B1" w:rsidRPr="00297A52" w14:paraId="34F56F15" w14:textId="77777777">
        <w:trPr>
          <w:trHeight w:val="112"/>
        </w:trPr>
        <w:tc>
          <w:tcPr>
            <w:tcW w:w="1800" w:type="dxa"/>
          </w:tcPr>
          <w:p w14:paraId="01BB9EEF" w14:textId="77777777" w:rsidR="00DF73B1" w:rsidRPr="00297A52" w:rsidRDefault="00DF73B1" w:rsidP="00297A52">
            <w:pPr>
              <w:spacing w:line="360" w:lineRule="auto"/>
              <w:rPr>
                <w:sz w:val="24"/>
                <w:szCs w:val="24"/>
              </w:rPr>
            </w:pPr>
            <w:r w:rsidRPr="00297A52">
              <w:rPr>
                <w:sz w:val="24"/>
                <w:szCs w:val="24"/>
              </w:rPr>
              <w:t>San Juan</w:t>
            </w:r>
          </w:p>
        </w:tc>
        <w:tc>
          <w:tcPr>
            <w:tcW w:w="1488" w:type="dxa"/>
          </w:tcPr>
          <w:p w14:paraId="15CCF5B1" w14:textId="77777777" w:rsidR="00DF73B1" w:rsidRPr="00297A52" w:rsidRDefault="00DF73B1" w:rsidP="00297A52">
            <w:pPr>
              <w:spacing w:line="360" w:lineRule="auto"/>
              <w:jc w:val="center"/>
              <w:rPr>
                <w:sz w:val="24"/>
                <w:szCs w:val="24"/>
              </w:rPr>
            </w:pPr>
            <w:r w:rsidRPr="00297A52">
              <w:rPr>
                <w:sz w:val="24"/>
                <w:szCs w:val="24"/>
              </w:rPr>
              <w:t>2.56</w:t>
            </w:r>
          </w:p>
        </w:tc>
        <w:tc>
          <w:tcPr>
            <w:tcW w:w="1572" w:type="dxa"/>
          </w:tcPr>
          <w:p w14:paraId="72FA49FD" w14:textId="77777777" w:rsidR="00DF73B1" w:rsidRPr="00297A52" w:rsidRDefault="00DF73B1" w:rsidP="00297A52">
            <w:pPr>
              <w:spacing w:line="360" w:lineRule="auto"/>
              <w:jc w:val="center"/>
              <w:rPr>
                <w:sz w:val="24"/>
                <w:szCs w:val="24"/>
              </w:rPr>
            </w:pPr>
            <w:r w:rsidRPr="00297A52">
              <w:rPr>
                <w:sz w:val="24"/>
                <w:szCs w:val="24"/>
              </w:rPr>
              <w:t>3.38</w:t>
            </w:r>
          </w:p>
        </w:tc>
        <w:tc>
          <w:tcPr>
            <w:tcW w:w="1080" w:type="dxa"/>
          </w:tcPr>
          <w:p w14:paraId="06F552B8" w14:textId="77777777" w:rsidR="00DF73B1" w:rsidRPr="00297A52" w:rsidRDefault="00DF73B1" w:rsidP="00297A52">
            <w:pPr>
              <w:spacing w:line="360" w:lineRule="auto"/>
              <w:jc w:val="center"/>
              <w:rPr>
                <w:sz w:val="24"/>
                <w:szCs w:val="24"/>
              </w:rPr>
            </w:pPr>
            <w:r w:rsidRPr="00297A52">
              <w:rPr>
                <w:sz w:val="24"/>
                <w:szCs w:val="24"/>
              </w:rPr>
              <w:t>1.0</w:t>
            </w:r>
          </w:p>
        </w:tc>
        <w:tc>
          <w:tcPr>
            <w:tcW w:w="1800" w:type="dxa"/>
          </w:tcPr>
          <w:p w14:paraId="0C730E3A" w14:textId="77777777" w:rsidR="00DF73B1" w:rsidRPr="00297A52" w:rsidRDefault="00DF73B1" w:rsidP="00297A52">
            <w:pPr>
              <w:spacing w:line="360" w:lineRule="auto"/>
              <w:jc w:val="center"/>
              <w:rPr>
                <w:sz w:val="24"/>
                <w:szCs w:val="24"/>
              </w:rPr>
            </w:pPr>
            <w:r w:rsidRPr="00297A52">
              <w:rPr>
                <w:sz w:val="24"/>
                <w:szCs w:val="24"/>
              </w:rPr>
              <w:t>1.6</w:t>
            </w:r>
          </w:p>
        </w:tc>
      </w:tr>
      <w:tr w:rsidR="00DF73B1" w:rsidRPr="00297A52" w14:paraId="76B2E848" w14:textId="77777777">
        <w:trPr>
          <w:trHeight w:val="158"/>
        </w:trPr>
        <w:tc>
          <w:tcPr>
            <w:tcW w:w="1800" w:type="dxa"/>
          </w:tcPr>
          <w:p w14:paraId="46B35251" w14:textId="77777777" w:rsidR="00DF73B1" w:rsidRPr="00297A52" w:rsidRDefault="00DF73B1" w:rsidP="00297A52">
            <w:pPr>
              <w:spacing w:line="360" w:lineRule="auto"/>
              <w:rPr>
                <w:sz w:val="24"/>
                <w:szCs w:val="24"/>
              </w:rPr>
            </w:pPr>
            <w:r w:rsidRPr="00297A52">
              <w:rPr>
                <w:sz w:val="24"/>
                <w:szCs w:val="24"/>
              </w:rPr>
              <w:t>San Luis</w:t>
            </w:r>
          </w:p>
        </w:tc>
        <w:tc>
          <w:tcPr>
            <w:tcW w:w="1488" w:type="dxa"/>
          </w:tcPr>
          <w:p w14:paraId="6869D786" w14:textId="77777777" w:rsidR="00DF73B1" w:rsidRPr="00297A52" w:rsidRDefault="00DF73B1" w:rsidP="00297A52">
            <w:pPr>
              <w:spacing w:line="360" w:lineRule="auto"/>
              <w:jc w:val="center"/>
              <w:rPr>
                <w:sz w:val="24"/>
                <w:szCs w:val="24"/>
              </w:rPr>
            </w:pPr>
            <w:r w:rsidRPr="00297A52">
              <w:rPr>
                <w:sz w:val="24"/>
                <w:szCs w:val="24"/>
              </w:rPr>
              <w:t>1.75</w:t>
            </w:r>
          </w:p>
        </w:tc>
        <w:tc>
          <w:tcPr>
            <w:tcW w:w="1572" w:type="dxa"/>
          </w:tcPr>
          <w:p w14:paraId="3F7E1150" w14:textId="77777777" w:rsidR="00DF73B1" w:rsidRPr="00297A52" w:rsidRDefault="00DF73B1" w:rsidP="00297A52">
            <w:pPr>
              <w:spacing w:line="360" w:lineRule="auto"/>
              <w:jc w:val="center"/>
              <w:rPr>
                <w:sz w:val="24"/>
                <w:szCs w:val="24"/>
              </w:rPr>
            </w:pPr>
            <w:r w:rsidRPr="00297A52">
              <w:rPr>
                <w:sz w:val="24"/>
                <w:szCs w:val="24"/>
              </w:rPr>
              <w:t>2.28</w:t>
            </w:r>
          </w:p>
        </w:tc>
        <w:tc>
          <w:tcPr>
            <w:tcW w:w="1080" w:type="dxa"/>
          </w:tcPr>
          <w:p w14:paraId="626AF789" w14:textId="77777777" w:rsidR="00DF73B1" w:rsidRPr="00297A52" w:rsidRDefault="00DF73B1" w:rsidP="00297A52">
            <w:pPr>
              <w:spacing w:line="360" w:lineRule="auto"/>
              <w:jc w:val="center"/>
              <w:rPr>
                <w:sz w:val="24"/>
                <w:szCs w:val="24"/>
              </w:rPr>
            </w:pPr>
            <w:r w:rsidRPr="00297A52">
              <w:rPr>
                <w:sz w:val="24"/>
                <w:szCs w:val="24"/>
              </w:rPr>
              <w:t>1.0</w:t>
            </w:r>
          </w:p>
        </w:tc>
        <w:tc>
          <w:tcPr>
            <w:tcW w:w="1800" w:type="dxa"/>
          </w:tcPr>
          <w:p w14:paraId="3CA73BEE" w14:textId="77777777" w:rsidR="00DF73B1" w:rsidRPr="00297A52" w:rsidRDefault="00DF73B1" w:rsidP="00297A52">
            <w:pPr>
              <w:spacing w:line="360" w:lineRule="auto"/>
              <w:jc w:val="center"/>
              <w:rPr>
                <w:sz w:val="24"/>
                <w:szCs w:val="24"/>
              </w:rPr>
            </w:pPr>
            <w:r w:rsidRPr="00297A52">
              <w:rPr>
                <w:sz w:val="24"/>
                <w:szCs w:val="24"/>
              </w:rPr>
              <w:t>0.9</w:t>
            </w:r>
          </w:p>
        </w:tc>
      </w:tr>
      <w:tr w:rsidR="00DF73B1" w:rsidRPr="00297A52" w14:paraId="45B2DB6E" w14:textId="77777777">
        <w:trPr>
          <w:trHeight w:val="78"/>
        </w:trPr>
        <w:tc>
          <w:tcPr>
            <w:tcW w:w="1800" w:type="dxa"/>
          </w:tcPr>
          <w:p w14:paraId="488615A8" w14:textId="77777777" w:rsidR="00DF73B1" w:rsidRPr="00297A52" w:rsidRDefault="00DF73B1" w:rsidP="00297A52">
            <w:pPr>
              <w:spacing w:line="360" w:lineRule="auto"/>
              <w:rPr>
                <w:sz w:val="24"/>
                <w:szCs w:val="24"/>
              </w:rPr>
            </w:pPr>
            <w:r w:rsidRPr="00297A52">
              <w:rPr>
                <w:sz w:val="24"/>
                <w:szCs w:val="24"/>
              </w:rPr>
              <w:t>Santa Cruz</w:t>
            </w:r>
          </w:p>
        </w:tc>
        <w:tc>
          <w:tcPr>
            <w:tcW w:w="1488" w:type="dxa"/>
          </w:tcPr>
          <w:p w14:paraId="5AF99F7A" w14:textId="77777777" w:rsidR="00DF73B1" w:rsidRPr="00297A52" w:rsidRDefault="00DF73B1" w:rsidP="00297A52">
            <w:pPr>
              <w:spacing w:line="360" w:lineRule="auto"/>
              <w:jc w:val="center"/>
              <w:rPr>
                <w:sz w:val="24"/>
                <w:szCs w:val="24"/>
              </w:rPr>
            </w:pPr>
            <w:r w:rsidRPr="00297A52">
              <w:rPr>
                <w:sz w:val="24"/>
                <w:szCs w:val="24"/>
              </w:rPr>
              <w:t>1.44</w:t>
            </w:r>
          </w:p>
        </w:tc>
        <w:tc>
          <w:tcPr>
            <w:tcW w:w="1572" w:type="dxa"/>
          </w:tcPr>
          <w:p w14:paraId="3567F62B" w14:textId="77777777" w:rsidR="00DF73B1" w:rsidRPr="00297A52" w:rsidRDefault="00DF73B1" w:rsidP="00297A52">
            <w:pPr>
              <w:spacing w:line="360" w:lineRule="auto"/>
              <w:jc w:val="center"/>
              <w:rPr>
                <w:sz w:val="24"/>
                <w:szCs w:val="24"/>
              </w:rPr>
            </w:pPr>
            <w:r w:rsidRPr="00297A52">
              <w:rPr>
                <w:sz w:val="24"/>
                <w:szCs w:val="24"/>
              </w:rPr>
              <w:t>1.58</w:t>
            </w:r>
          </w:p>
        </w:tc>
        <w:tc>
          <w:tcPr>
            <w:tcW w:w="1080" w:type="dxa"/>
          </w:tcPr>
          <w:p w14:paraId="705BAA35" w14:textId="77777777" w:rsidR="00DF73B1" w:rsidRPr="00297A52" w:rsidRDefault="00DF73B1" w:rsidP="00297A52">
            <w:pPr>
              <w:spacing w:line="360" w:lineRule="auto"/>
              <w:jc w:val="center"/>
              <w:rPr>
                <w:sz w:val="24"/>
                <w:szCs w:val="24"/>
              </w:rPr>
            </w:pPr>
            <w:r w:rsidRPr="00297A52">
              <w:rPr>
                <w:sz w:val="24"/>
                <w:szCs w:val="24"/>
              </w:rPr>
              <w:t>0.9</w:t>
            </w:r>
          </w:p>
        </w:tc>
        <w:tc>
          <w:tcPr>
            <w:tcW w:w="1800" w:type="dxa"/>
          </w:tcPr>
          <w:p w14:paraId="079DA440" w14:textId="77777777" w:rsidR="00DF73B1" w:rsidRPr="00297A52" w:rsidRDefault="00DF73B1" w:rsidP="00297A52">
            <w:pPr>
              <w:spacing w:line="360" w:lineRule="auto"/>
              <w:jc w:val="center"/>
              <w:rPr>
                <w:sz w:val="24"/>
                <w:szCs w:val="24"/>
              </w:rPr>
            </w:pPr>
            <w:r w:rsidRPr="00297A52">
              <w:rPr>
                <w:sz w:val="24"/>
                <w:szCs w:val="24"/>
              </w:rPr>
              <w:t>0.5</w:t>
            </w:r>
          </w:p>
        </w:tc>
      </w:tr>
      <w:tr w:rsidR="00DF73B1" w:rsidRPr="00297A52" w14:paraId="07E59BB6" w14:textId="77777777">
        <w:trPr>
          <w:trHeight w:val="82"/>
        </w:trPr>
        <w:tc>
          <w:tcPr>
            <w:tcW w:w="1800" w:type="dxa"/>
          </w:tcPr>
          <w:p w14:paraId="7998DCEE" w14:textId="77777777" w:rsidR="00DF73B1" w:rsidRPr="00297A52" w:rsidRDefault="00DF73B1" w:rsidP="00297A52">
            <w:pPr>
              <w:spacing w:line="360" w:lineRule="auto"/>
              <w:rPr>
                <w:sz w:val="24"/>
                <w:szCs w:val="24"/>
              </w:rPr>
            </w:pPr>
            <w:r w:rsidRPr="00297A52">
              <w:rPr>
                <w:sz w:val="24"/>
                <w:szCs w:val="24"/>
              </w:rPr>
              <w:t>Santa Fe</w:t>
            </w:r>
          </w:p>
        </w:tc>
        <w:tc>
          <w:tcPr>
            <w:tcW w:w="1488" w:type="dxa"/>
          </w:tcPr>
          <w:p w14:paraId="78608BB8" w14:textId="77777777" w:rsidR="00DF73B1" w:rsidRPr="00297A52" w:rsidRDefault="00DF73B1" w:rsidP="00297A52">
            <w:pPr>
              <w:spacing w:line="360" w:lineRule="auto"/>
              <w:jc w:val="center"/>
              <w:rPr>
                <w:sz w:val="24"/>
                <w:szCs w:val="24"/>
              </w:rPr>
            </w:pPr>
            <w:r w:rsidRPr="00297A52">
              <w:rPr>
                <w:sz w:val="24"/>
                <w:szCs w:val="24"/>
              </w:rPr>
              <w:t>9.05</w:t>
            </w:r>
          </w:p>
        </w:tc>
        <w:tc>
          <w:tcPr>
            <w:tcW w:w="1572" w:type="dxa"/>
          </w:tcPr>
          <w:p w14:paraId="2ADD1C63" w14:textId="77777777" w:rsidR="00DF73B1" w:rsidRPr="00297A52" w:rsidRDefault="00DF73B1" w:rsidP="00297A52">
            <w:pPr>
              <w:spacing w:line="360" w:lineRule="auto"/>
              <w:jc w:val="center"/>
              <w:rPr>
                <w:sz w:val="24"/>
                <w:szCs w:val="24"/>
              </w:rPr>
            </w:pPr>
            <w:r w:rsidRPr="00297A52">
              <w:rPr>
                <w:sz w:val="24"/>
                <w:szCs w:val="24"/>
              </w:rPr>
              <w:t>8.93</w:t>
            </w:r>
          </w:p>
        </w:tc>
        <w:tc>
          <w:tcPr>
            <w:tcW w:w="1080" w:type="dxa"/>
          </w:tcPr>
          <w:p w14:paraId="7F96D641" w14:textId="77777777" w:rsidR="00DF73B1" w:rsidRPr="00297A52" w:rsidRDefault="00DF73B1" w:rsidP="00297A52">
            <w:pPr>
              <w:spacing w:line="360" w:lineRule="auto"/>
              <w:jc w:val="center"/>
              <w:rPr>
                <w:sz w:val="24"/>
                <w:szCs w:val="24"/>
              </w:rPr>
            </w:pPr>
            <w:r w:rsidRPr="00297A52">
              <w:rPr>
                <w:sz w:val="24"/>
                <w:szCs w:val="24"/>
              </w:rPr>
              <w:t>7.8</w:t>
            </w:r>
          </w:p>
        </w:tc>
        <w:tc>
          <w:tcPr>
            <w:tcW w:w="1800" w:type="dxa"/>
          </w:tcPr>
          <w:p w14:paraId="58A68914" w14:textId="77777777" w:rsidR="00DF73B1" w:rsidRPr="00297A52" w:rsidRDefault="00DF73B1" w:rsidP="00297A52">
            <w:pPr>
              <w:spacing w:line="360" w:lineRule="auto"/>
              <w:jc w:val="center"/>
              <w:rPr>
                <w:sz w:val="24"/>
                <w:szCs w:val="24"/>
              </w:rPr>
            </w:pPr>
            <w:r w:rsidRPr="00297A52">
              <w:rPr>
                <w:sz w:val="24"/>
                <w:szCs w:val="24"/>
              </w:rPr>
              <w:t>8.6</w:t>
            </w:r>
          </w:p>
        </w:tc>
      </w:tr>
      <w:tr w:rsidR="00DF73B1" w:rsidRPr="00297A52" w14:paraId="47246417" w14:textId="77777777">
        <w:trPr>
          <w:trHeight w:val="100"/>
        </w:trPr>
        <w:tc>
          <w:tcPr>
            <w:tcW w:w="1800" w:type="dxa"/>
          </w:tcPr>
          <w:p w14:paraId="0E93479F" w14:textId="77777777" w:rsidR="00DF73B1" w:rsidRPr="00297A52" w:rsidRDefault="00DF73B1" w:rsidP="00297A52">
            <w:pPr>
              <w:spacing w:line="360" w:lineRule="auto"/>
              <w:rPr>
                <w:sz w:val="24"/>
                <w:szCs w:val="24"/>
              </w:rPr>
            </w:pPr>
            <w:r w:rsidRPr="00297A52">
              <w:rPr>
                <w:sz w:val="24"/>
                <w:szCs w:val="24"/>
              </w:rPr>
              <w:t>S. del Estero</w:t>
            </w:r>
          </w:p>
        </w:tc>
        <w:tc>
          <w:tcPr>
            <w:tcW w:w="1488" w:type="dxa"/>
          </w:tcPr>
          <w:p w14:paraId="432F6292" w14:textId="77777777" w:rsidR="00DF73B1" w:rsidRPr="00297A52" w:rsidRDefault="00DF73B1" w:rsidP="00297A52">
            <w:pPr>
              <w:spacing w:line="360" w:lineRule="auto"/>
              <w:jc w:val="center"/>
              <w:rPr>
                <w:sz w:val="24"/>
                <w:szCs w:val="24"/>
              </w:rPr>
            </w:pPr>
            <w:r w:rsidRPr="00297A52">
              <w:rPr>
                <w:sz w:val="24"/>
                <w:szCs w:val="24"/>
              </w:rPr>
              <w:t>4.02</w:t>
            </w:r>
          </w:p>
        </w:tc>
        <w:tc>
          <w:tcPr>
            <w:tcW w:w="1572" w:type="dxa"/>
          </w:tcPr>
          <w:p w14:paraId="0BE563A4" w14:textId="77777777" w:rsidR="00DF73B1" w:rsidRPr="00297A52" w:rsidRDefault="00DF73B1" w:rsidP="00297A52">
            <w:pPr>
              <w:spacing w:line="360" w:lineRule="auto"/>
              <w:jc w:val="center"/>
              <w:rPr>
                <w:sz w:val="24"/>
                <w:szCs w:val="24"/>
              </w:rPr>
            </w:pPr>
            <w:r w:rsidRPr="00297A52">
              <w:rPr>
                <w:sz w:val="24"/>
                <w:szCs w:val="24"/>
              </w:rPr>
              <w:t>4.13</w:t>
            </w:r>
          </w:p>
        </w:tc>
        <w:tc>
          <w:tcPr>
            <w:tcW w:w="1080" w:type="dxa"/>
          </w:tcPr>
          <w:p w14:paraId="7A2C53EE" w14:textId="77777777" w:rsidR="00DF73B1" w:rsidRPr="00297A52" w:rsidRDefault="00DF73B1" w:rsidP="00297A52">
            <w:pPr>
              <w:spacing w:line="360" w:lineRule="auto"/>
              <w:jc w:val="center"/>
              <w:rPr>
                <w:sz w:val="24"/>
                <w:szCs w:val="24"/>
              </w:rPr>
            </w:pPr>
            <w:r w:rsidRPr="00297A52">
              <w:rPr>
                <w:sz w:val="24"/>
                <w:szCs w:val="24"/>
              </w:rPr>
              <w:t>0.8</w:t>
            </w:r>
          </w:p>
        </w:tc>
        <w:tc>
          <w:tcPr>
            <w:tcW w:w="1800" w:type="dxa"/>
          </w:tcPr>
          <w:p w14:paraId="119CCAFF" w14:textId="77777777" w:rsidR="00DF73B1" w:rsidRPr="00297A52" w:rsidRDefault="00DF73B1" w:rsidP="00297A52">
            <w:pPr>
              <w:spacing w:line="360" w:lineRule="auto"/>
              <w:jc w:val="center"/>
              <w:rPr>
                <w:sz w:val="24"/>
                <w:szCs w:val="24"/>
              </w:rPr>
            </w:pPr>
            <w:r w:rsidRPr="00297A52">
              <w:rPr>
                <w:sz w:val="24"/>
                <w:szCs w:val="24"/>
              </w:rPr>
              <w:t>2.1</w:t>
            </w:r>
          </w:p>
        </w:tc>
      </w:tr>
      <w:tr w:rsidR="00DF73B1" w:rsidRPr="00297A52" w14:paraId="1D373882" w14:textId="77777777">
        <w:trPr>
          <w:trHeight w:val="200"/>
        </w:trPr>
        <w:tc>
          <w:tcPr>
            <w:tcW w:w="1800" w:type="dxa"/>
          </w:tcPr>
          <w:p w14:paraId="5A209CD2" w14:textId="77777777" w:rsidR="00DF73B1" w:rsidRPr="00297A52" w:rsidRDefault="00DF73B1" w:rsidP="00297A52">
            <w:pPr>
              <w:spacing w:line="360" w:lineRule="auto"/>
              <w:rPr>
                <w:sz w:val="24"/>
                <w:szCs w:val="24"/>
              </w:rPr>
            </w:pPr>
            <w:r w:rsidRPr="00297A52">
              <w:rPr>
                <w:sz w:val="24"/>
                <w:szCs w:val="24"/>
              </w:rPr>
              <w:t>Tucumán</w:t>
            </w:r>
          </w:p>
        </w:tc>
        <w:tc>
          <w:tcPr>
            <w:tcW w:w="1488" w:type="dxa"/>
          </w:tcPr>
          <w:p w14:paraId="302D15A8" w14:textId="77777777" w:rsidR="00DF73B1" w:rsidRPr="00297A52" w:rsidRDefault="00DF73B1" w:rsidP="00297A52">
            <w:pPr>
              <w:spacing w:line="360" w:lineRule="auto"/>
              <w:jc w:val="center"/>
              <w:rPr>
                <w:sz w:val="24"/>
                <w:szCs w:val="24"/>
              </w:rPr>
            </w:pPr>
            <w:r w:rsidRPr="00297A52">
              <w:rPr>
                <w:sz w:val="24"/>
                <w:szCs w:val="24"/>
              </w:rPr>
              <w:t>4.56</w:t>
            </w:r>
          </w:p>
        </w:tc>
        <w:tc>
          <w:tcPr>
            <w:tcW w:w="1572" w:type="dxa"/>
          </w:tcPr>
          <w:p w14:paraId="4CA4A10D" w14:textId="77777777" w:rsidR="00DF73B1" w:rsidRPr="00297A52" w:rsidRDefault="00DF73B1" w:rsidP="00297A52">
            <w:pPr>
              <w:spacing w:line="360" w:lineRule="auto"/>
              <w:jc w:val="center"/>
              <w:rPr>
                <w:sz w:val="24"/>
                <w:szCs w:val="24"/>
              </w:rPr>
            </w:pPr>
            <w:r w:rsidRPr="00297A52">
              <w:rPr>
                <w:sz w:val="24"/>
                <w:szCs w:val="24"/>
              </w:rPr>
              <w:t>4.76</w:t>
            </w:r>
          </w:p>
        </w:tc>
        <w:tc>
          <w:tcPr>
            <w:tcW w:w="1080" w:type="dxa"/>
          </w:tcPr>
          <w:p w14:paraId="62C35373" w14:textId="77777777" w:rsidR="00DF73B1" w:rsidRPr="00297A52" w:rsidRDefault="00DF73B1" w:rsidP="00297A52">
            <w:pPr>
              <w:spacing w:line="360" w:lineRule="auto"/>
              <w:jc w:val="center"/>
              <w:rPr>
                <w:sz w:val="24"/>
                <w:szCs w:val="24"/>
              </w:rPr>
            </w:pPr>
            <w:r w:rsidRPr="00297A52">
              <w:rPr>
                <w:sz w:val="24"/>
                <w:szCs w:val="24"/>
              </w:rPr>
              <w:t>2.1</w:t>
            </w:r>
          </w:p>
        </w:tc>
        <w:tc>
          <w:tcPr>
            <w:tcW w:w="1800" w:type="dxa"/>
          </w:tcPr>
          <w:p w14:paraId="7A6559E9" w14:textId="77777777" w:rsidR="00DF73B1" w:rsidRPr="00297A52" w:rsidRDefault="00DF73B1" w:rsidP="00297A52">
            <w:pPr>
              <w:spacing w:line="360" w:lineRule="auto"/>
              <w:jc w:val="center"/>
              <w:rPr>
                <w:sz w:val="24"/>
                <w:szCs w:val="24"/>
              </w:rPr>
            </w:pPr>
            <w:r w:rsidRPr="00297A52">
              <w:rPr>
                <w:sz w:val="24"/>
                <w:szCs w:val="24"/>
              </w:rPr>
              <w:t>3.5</w:t>
            </w:r>
          </w:p>
        </w:tc>
      </w:tr>
      <w:tr w:rsidR="00DF73B1" w:rsidRPr="00297A52" w14:paraId="2C4A4848" w14:textId="77777777">
        <w:trPr>
          <w:trHeight w:val="160"/>
        </w:trPr>
        <w:tc>
          <w:tcPr>
            <w:tcW w:w="1800" w:type="dxa"/>
          </w:tcPr>
          <w:p w14:paraId="6A7F8640" w14:textId="77777777" w:rsidR="00DF73B1" w:rsidRPr="00297A52" w:rsidRDefault="00DF73B1" w:rsidP="00297A52">
            <w:pPr>
              <w:pStyle w:val="Textonotapie"/>
              <w:spacing w:line="360" w:lineRule="auto"/>
              <w:rPr>
                <w:sz w:val="24"/>
                <w:szCs w:val="24"/>
              </w:rPr>
            </w:pPr>
            <w:r w:rsidRPr="00297A52">
              <w:rPr>
                <w:sz w:val="24"/>
                <w:szCs w:val="24"/>
              </w:rPr>
              <w:t>T. del Fuego</w:t>
            </w:r>
          </w:p>
        </w:tc>
        <w:tc>
          <w:tcPr>
            <w:tcW w:w="1488" w:type="dxa"/>
          </w:tcPr>
          <w:p w14:paraId="394E39D7" w14:textId="77777777" w:rsidR="00DF73B1" w:rsidRPr="00297A52" w:rsidRDefault="00DF73B1" w:rsidP="00297A52">
            <w:pPr>
              <w:spacing w:line="360" w:lineRule="auto"/>
              <w:jc w:val="center"/>
              <w:rPr>
                <w:sz w:val="24"/>
                <w:szCs w:val="24"/>
              </w:rPr>
            </w:pPr>
            <w:r w:rsidRPr="00297A52">
              <w:rPr>
                <w:sz w:val="24"/>
                <w:szCs w:val="24"/>
              </w:rPr>
              <w:t>-</w:t>
            </w:r>
          </w:p>
        </w:tc>
        <w:tc>
          <w:tcPr>
            <w:tcW w:w="1572" w:type="dxa"/>
          </w:tcPr>
          <w:p w14:paraId="090DB8DD" w14:textId="77777777" w:rsidR="00DF73B1" w:rsidRPr="00297A52" w:rsidRDefault="00DF73B1" w:rsidP="00297A52">
            <w:pPr>
              <w:spacing w:line="360" w:lineRule="auto"/>
              <w:jc w:val="center"/>
              <w:rPr>
                <w:sz w:val="24"/>
                <w:szCs w:val="24"/>
              </w:rPr>
            </w:pPr>
            <w:r w:rsidRPr="00297A52">
              <w:rPr>
                <w:sz w:val="24"/>
                <w:szCs w:val="24"/>
              </w:rPr>
              <w:t>0.24</w:t>
            </w:r>
          </w:p>
        </w:tc>
        <w:tc>
          <w:tcPr>
            <w:tcW w:w="1080" w:type="dxa"/>
          </w:tcPr>
          <w:p w14:paraId="6E799BE6" w14:textId="77777777" w:rsidR="00DF73B1" w:rsidRPr="00297A52" w:rsidRDefault="00DF73B1" w:rsidP="00297A52">
            <w:pPr>
              <w:spacing w:line="360" w:lineRule="auto"/>
              <w:jc w:val="center"/>
              <w:rPr>
                <w:sz w:val="24"/>
                <w:szCs w:val="24"/>
              </w:rPr>
            </w:pPr>
            <w:r w:rsidRPr="00297A52">
              <w:rPr>
                <w:sz w:val="24"/>
                <w:szCs w:val="24"/>
              </w:rPr>
              <w:t>0.8</w:t>
            </w:r>
          </w:p>
        </w:tc>
        <w:tc>
          <w:tcPr>
            <w:tcW w:w="1800" w:type="dxa"/>
          </w:tcPr>
          <w:p w14:paraId="4A5EA770" w14:textId="77777777" w:rsidR="00DF73B1" w:rsidRPr="00297A52" w:rsidRDefault="00DF73B1" w:rsidP="00297A52">
            <w:pPr>
              <w:spacing w:line="360" w:lineRule="auto"/>
              <w:jc w:val="center"/>
              <w:rPr>
                <w:sz w:val="24"/>
                <w:szCs w:val="24"/>
              </w:rPr>
            </w:pPr>
            <w:r w:rsidRPr="00297A52">
              <w:rPr>
                <w:sz w:val="24"/>
                <w:szCs w:val="24"/>
              </w:rPr>
              <w:t>0.2</w:t>
            </w:r>
          </w:p>
        </w:tc>
      </w:tr>
      <w:tr w:rsidR="00DF73B1" w:rsidRPr="00297A52" w14:paraId="1188BF9F" w14:textId="77777777">
        <w:trPr>
          <w:trHeight w:val="63"/>
        </w:trPr>
        <w:tc>
          <w:tcPr>
            <w:tcW w:w="1800" w:type="dxa"/>
          </w:tcPr>
          <w:p w14:paraId="38C3CEC5" w14:textId="77777777" w:rsidR="00DF73B1" w:rsidRPr="00297A52" w:rsidRDefault="00DF73B1" w:rsidP="00297A52">
            <w:pPr>
              <w:spacing w:line="360" w:lineRule="auto"/>
              <w:rPr>
                <w:sz w:val="24"/>
                <w:szCs w:val="24"/>
              </w:rPr>
            </w:pPr>
            <w:r w:rsidRPr="00297A52">
              <w:rPr>
                <w:sz w:val="24"/>
                <w:szCs w:val="24"/>
              </w:rPr>
              <w:t>MCBA</w:t>
            </w:r>
          </w:p>
        </w:tc>
        <w:tc>
          <w:tcPr>
            <w:tcW w:w="1488" w:type="dxa"/>
          </w:tcPr>
          <w:p w14:paraId="4AE02286" w14:textId="77777777" w:rsidR="00DF73B1" w:rsidRPr="00297A52" w:rsidRDefault="00DF73B1" w:rsidP="00297A52">
            <w:pPr>
              <w:pStyle w:val="Textonotapie"/>
              <w:spacing w:line="360" w:lineRule="auto"/>
              <w:jc w:val="center"/>
              <w:rPr>
                <w:sz w:val="24"/>
                <w:szCs w:val="24"/>
              </w:rPr>
            </w:pPr>
            <w:r w:rsidRPr="00297A52">
              <w:rPr>
                <w:sz w:val="24"/>
                <w:szCs w:val="24"/>
              </w:rPr>
              <w:t>-</w:t>
            </w:r>
          </w:p>
        </w:tc>
        <w:tc>
          <w:tcPr>
            <w:tcW w:w="1572" w:type="dxa"/>
          </w:tcPr>
          <w:p w14:paraId="1399490C" w14:textId="77777777" w:rsidR="00DF73B1" w:rsidRPr="00297A52" w:rsidRDefault="00DF73B1" w:rsidP="00297A52">
            <w:pPr>
              <w:spacing w:line="360" w:lineRule="auto"/>
              <w:jc w:val="center"/>
              <w:rPr>
                <w:sz w:val="24"/>
                <w:szCs w:val="24"/>
              </w:rPr>
            </w:pPr>
            <w:r w:rsidRPr="00297A52">
              <w:rPr>
                <w:sz w:val="24"/>
                <w:szCs w:val="24"/>
              </w:rPr>
              <w:t>-</w:t>
            </w:r>
          </w:p>
        </w:tc>
        <w:tc>
          <w:tcPr>
            <w:tcW w:w="1080" w:type="dxa"/>
          </w:tcPr>
          <w:p w14:paraId="7A940714" w14:textId="77777777" w:rsidR="00DF73B1" w:rsidRPr="00297A52" w:rsidRDefault="00DF73B1" w:rsidP="00297A52">
            <w:pPr>
              <w:spacing w:line="360" w:lineRule="auto"/>
              <w:jc w:val="center"/>
              <w:rPr>
                <w:sz w:val="24"/>
                <w:szCs w:val="24"/>
              </w:rPr>
            </w:pPr>
            <w:r w:rsidRPr="00297A52">
              <w:rPr>
                <w:sz w:val="24"/>
                <w:szCs w:val="24"/>
              </w:rPr>
              <w:t>25.2</w:t>
            </w:r>
          </w:p>
        </w:tc>
        <w:tc>
          <w:tcPr>
            <w:tcW w:w="1800" w:type="dxa"/>
          </w:tcPr>
          <w:p w14:paraId="1BE09389" w14:textId="77777777" w:rsidR="00DF73B1" w:rsidRPr="00297A52" w:rsidRDefault="00DF73B1" w:rsidP="00297A52">
            <w:pPr>
              <w:spacing w:line="360" w:lineRule="auto"/>
              <w:jc w:val="center"/>
              <w:rPr>
                <w:sz w:val="24"/>
                <w:szCs w:val="24"/>
              </w:rPr>
            </w:pPr>
            <w:r w:rsidRPr="00297A52">
              <w:rPr>
                <w:sz w:val="24"/>
                <w:szCs w:val="24"/>
              </w:rPr>
              <w:t>8.9</w:t>
            </w:r>
          </w:p>
        </w:tc>
      </w:tr>
      <w:tr w:rsidR="00DF73B1" w:rsidRPr="00297A52" w14:paraId="5C7F4CF2" w14:textId="77777777">
        <w:trPr>
          <w:trHeight w:val="63"/>
        </w:trPr>
        <w:tc>
          <w:tcPr>
            <w:tcW w:w="1800" w:type="dxa"/>
          </w:tcPr>
          <w:p w14:paraId="462BE9DD" w14:textId="77777777" w:rsidR="00DF73B1" w:rsidRPr="00297A52" w:rsidRDefault="00DF73B1" w:rsidP="00297A52">
            <w:pPr>
              <w:spacing w:line="360" w:lineRule="auto"/>
              <w:rPr>
                <w:sz w:val="24"/>
                <w:szCs w:val="24"/>
              </w:rPr>
            </w:pPr>
            <w:r w:rsidRPr="00297A52">
              <w:rPr>
                <w:sz w:val="24"/>
                <w:szCs w:val="24"/>
              </w:rPr>
              <w:t>Totales</w:t>
            </w:r>
          </w:p>
        </w:tc>
        <w:tc>
          <w:tcPr>
            <w:tcW w:w="1488" w:type="dxa"/>
          </w:tcPr>
          <w:p w14:paraId="1DB7987B" w14:textId="77777777" w:rsidR="00DF73B1" w:rsidRPr="00297A52" w:rsidRDefault="00D5698C" w:rsidP="00297A52">
            <w:pPr>
              <w:pStyle w:val="Textonotapie"/>
              <w:spacing w:line="360" w:lineRule="auto"/>
              <w:rPr>
                <w:sz w:val="24"/>
                <w:szCs w:val="24"/>
              </w:rPr>
            </w:pPr>
            <w:r w:rsidRPr="00297A52">
              <w:rPr>
                <w:sz w:val="24"/>
                <w:szCs w:val="24"/>
              </w:rPr>
              <w:t xml:space="preserve">    </w:t>
            </w:r>
            <w:r w:rsidR="00DF73B1" w:rsidRPr="00297A52">
              <w:rPr>
                <w:sz w:val="24"/>
                <w:szCs w:val="24"/>
              </w:rPr>
              <w:t>100.00</w:t>
            </w:r>
          </w:p>
        </w:tc>
        <w:tc>
          <w:tcPr>
            <w:tcW w:w="1572" w:type="dxa"/>
          </w:tcPr>
          <w:p w14:paraId="27616E51" w14:textId="77777777" w:rsidR="00DF73B1" w:rsidRPr="00297A52" w:rsidRDefault="00DF73B1" w:rsidP="00297A52">
            <w:pPr>
              <w:spacing w:line="360" w:lineRule="auto"/>
              <w:rPr>
                <w:sz w:val="24"/>
                <w:szCs w:val="24"/>
              </w:rPr>
            </w:pPr>
            <w:r w:rsidRPr="00297A52">
              <w:rPr>
                <w:sz w:val="24"/>
                <w:szCs w:val="24"/>
              </w:rPr>
              <w:t xml:space="preserve">  </w:t>
            </w:r>
            <w:r w:rsidR="00D5698C" w:rsidRPr="00297A52">
              <w:rPr>
                <w:sz w:val="24"/>
                <w:szCs w:val="24"/>
              </w:rPr>
              <w:t xml:space="preserve">  </w:t>
            </w:r>
            <w:r w:rsidRPr="00297A52">
              <w:rPr>
                <w:sz w:val="24"/>
                <w:szCs w:val="24"/>
              </w:rPr>
              <w:t xml:space="preserve"> 100.00</w:t>
            </w:r>
          </w:p>
        </w:tc>
        <w:tc>
          <w:tcPr>
            <w:tcW w:w="1080" w:type="dxa"/>
          </w:tcPr>
          <w:p w14:paraId="5FD1E5C7" w14:textId="77777777" w:rsidR="00DF73B1" w:rsidRPr="00297A52" w:rsidRDefault="00D5698C" w:rsidP="00297A52">
            <w:pPr>
              <w:spacing w:line="360" w:lineRule="auto"/>
              <w:rPr>
                <w:sz w:val="24"/>
                <w:szCs w:val="24"/>
              </w:rPr>
            </w:pPr>
            <w:r w:rsidRPr="00297A52">
              <w:rPr>
                <w:sz w:val="24"/>
                <w:szCs w:val="24"/>
              </w:rPr>
              <w:t xml:space="preserve">   </w:t>
            </w:r>
            <w:r w:rsidR="00DF73B1" w:rsidRPr="00297A52">
              <w:rPr>
                <w:sz w:val="24"/>
                <w:szCs w:val="24"/>
              </w:rPr>
              <w:t>100.0</w:t>
            </w:r>
          </w:p>
        </w:tc>
        <w:tc>
          <w:tcPr>
            <w:tcW w:w="1800" w:type="dxa"/>
          </w:tcPr>
          <w:p w14:paraId="1268E0A8" w14:textId="77777777" w:rsidR="00DF73B1" w:rsidRPr="00297A52" w:rsidRDefault="00D5698C" w:rsidP="00297A52">
            <w:pPr>
              <w:spacing w:line="360" w:lineRule="auto"/>
              <w:rPr>
                <w:sz w:val="24"/>
                <w:szCs w:val="24"/>
              </w:rPr>
            </w:pPr>
            <w:r w:rsidRPr="00297A52">
              <w:rPr>
                <w:sz w:val="24"/>
                <w:szCs w:val="24"/>
              </w:rPr>
              <w:t xml:space="preserve">         </w:t>
            </w:r>
            <w:r w:rsidR="00DF73B1" w:rsidRPr="00297A52">
              <w:rPr>
                <w:sz w:val="24"/>
                <w:szCs w:val="24"/>
              </w:rPr>
              <w:t>100.0</w:t>
            </w:r>
          </w:p>
        </w:tc>
      </w:tr>
      <w:tr w:rsidR="00DF73B1" w:rsidRPr="00CE6C36" w14:paraId="1504D6CC" w14:textId="77777777">
        <w:trPr>
          <w:cantSplit/>
          <w:trHeight w:val="63"/>
        </w:trPr>
        <w:tc>
          <w:tcPr>
            <w:tcW w:w="7740" w:type="dxa"/>
            <w:gridSpan w:val="5"/>
          </w:tcPr>
          <w:p w14:paraId="1AB7B76F" w14:textId="77777777" w:rsidR="00DF73B1" w:rsidRPr="00297A52" w:rsidRDefault="00DF73B1" w:rsidP="00297A52">
            <w:pPr>
              <w:pStyle w:val="Textonotapie"/>
              <w:spacing w:line="360" w:lineRule="auto"/>
              <w:rPr>
                <w:sz w:val="24"/>
                <w:szCs w:val="24"/>
                <w:lang w:val="es-MX"/>
              </w:rPr>
            </w:pPr>
            <w:r w:rsidRPr="00297A52">
              <w:rPr>
                <w:sz w:val="24"/>
                <w:szCs w:val="24"/>
                <w:u w:val="single"/>
                <w:lang w:val="es-MX"/>
              </w:rPr>
              <w:lastRenderedPageBreak/>
              <w:t>Fuentes</w:t>
            </w:r>
            <w:r w:rsidRPr="00297A52">
              <w:rPr>
                <w:sz w:val="24"/>
                <w:szCs w:val="24"/>
                <w:lang w:val="es-MX"/>
              </w:rPr>
              <w:t xml:space="preserve">: </w:t>
            </w:r>
            <w:r w:rsidR="00620C92" w:rsidRPr="00297A52">
              <w:rPr>
                <w:sz w:val="24"/>
                <w:szCs w:val="24"/>
                <w:lang w:val="es-MX"/>
              </w:rPr>
              <w:t xml:space="preserve">1) </w:t>
            </w:r>
            <w:r w:rsidRPr="00297A52">
              <w:rPr>
                <w:sz w:val="24"/>
                <w:szCs w:val="24"/>
                <w:lang w:val="es-MX"/>
              </w:rPr>
              <w:t xml:space="preserve">PBI, año 1993 (base 1993), Ministerio de Economía. </w:t>
            </w:r>
            <w:r w:rsidR="00620C92" w:rsidRPr="00297A52">
              <w:rPr>
                <w:sz w:val="24"/>
                <w:szCs w:val="24"/>
                <w:lang w:val="es-MX"/>
              </w:rPr>
              <w:t xml:space="preserve">2) </w:t>
            </w:r>
            <w:r w:rsidRPr="00297A52">
              <w:rPr>
                <w:sz w:val="24"/>
                <w:szCs w:val="24"/>
                <w:lang w:val="es-MX"/>
              </w:rPr>
              <w:t>Población, Censo Nacional de 1991, INDEC.</w:t>
            </w:r>
          </w:p>
        </w:tc>
      </w:tr>
    </w:tbl>
    <w:p w14:paraId="75B10FCC" w14:textId="77777777" w:rsidR="00DF73B1" w:rsidRPr="00297A52" w:rsidRDefault="00DF73B1" w:rsidP="00297A52">
      <w:pPr>
        <w:pStyle w:val="Sangradetextonormal"/>
        <w:spacing w:line="360" w:lineRule="auto"/>
        <w:ind w:firstLine="0"/>
        <w:rPr>
          <w:szCs w:val="24"/>
        </w:rPr>
      </w:pPr>
    </w:p>
    <w:p w14:paraId="08D8D370" w14:textId="77777777" w:rsidR="0012684E" w:rsidRPr="00297A52" w:rsidRDefault="0012684E" w:rsidP="00297A52">
      <w:pPr>
        <w:pStyle w:val="Sangradetextonormal"/>
        <w:spacing w:line="360" w:lineRule="auto"/>
        <w:ind w:firstLine="0"/>
        <w:rPr>
          <w:szCs w:val="24"/>
        </w:rPr>
      </w:pPr>
    </w:p>
    <w:p w14:paraId="01343753" w14:textId="77777777" w:rsidR="00DF73B1" w:rsidRPr="00297A52" w:rsidRDefault="00DF73B1" w:rsidP="00297A52">
      <w:pPr>
        <w:pStyle w:val="Sangradetextonormal"/>
        <w:spacing w:line="360" w:lineRule="auto"/>
        <w:ind w:firstLine="0"/>
        <w:rPr>
          <w:szCs w:val="24"/>
        </w:rPr>
      </w:pPr>
      <w:r w:rsidRPr="00297A52">
        <w:rPr>
          <w:szCs w:val="24"/>
        </w:rPr>
        <w:t xml:space="preserve">Cuadro </w:t>
      </w:r>
      <w:r w:rsidR="00D30079" w:rsidRPr="00297A52">
        <w:rPr>
          <w:szCs w:val="24"/>
        </w:rPr>
        <w:t xml:space="preserve">Nº </w:t>
      </w:r>
      <w:r w:rsidRPr="00297A52">
        <w:rPr>
          <w:szCs w:val="24"/>
        </w:rPr>
        <w:t>2</w:t>
      </w:r>
    </w:p>
    <w:p w14:paraId="4B3B1124" w14:textId="77777777" w:rsidR="00DF73B1" w:rsidRPr="00297A52" w:rsidRDefault="00DF73B1" w:rsidP="00297A52">
      <w:pPr>
        <w:pStyle w:val="Sangradetextonormal"/>
        <w:spacing w:line="360" w:lineRule="auto"/>
        <w:ind w:firstLine="0"/>
        <w:rPr>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0"/>
        <w:gridCol w:w="4020"/>
        <w:gridCol w:w="2340"/>
      </w:tblGrid>
      <w:tr w:rsidR="00DF73B1" w:rsidRPr="00CE6C36" w14:paraId="02790D6F" w14:textId="77777777">
        <w:trPr>
          <w:trHeight w:val="233"/>
        </w:trPr>
        <w:tc>
          <w:tcPr>
            <w:tcW w:w="7560" w:type="dxa"/>
            <w:gridSpan w:val="3"/>
          </w:tcPr>
          <w:p w14:paraId="340D6F71" w14:textId="77777777" w:rsidR="00DF73B1" w:rsidRPr="00297A52" w:rsidRDefault="00DF73B1" w:rsidP="00297A52">
            <w:pPr>
              <w:pStyle w:val="Ttulo2"/>
              <w:spacing w:line="360" w:lineRule="auto"/>
              <w:jc w:val="center"/>
              <w:rPr>
                <w:szCs w:val="24"/>
              </w:rPr>
            </w:pPr>
            <w:r w:rsidRPr="00297A52">
              <w:rPr>
                <w:szCs w:val="24"/>
              </w:rPr>
              <w:t>Evolución del Federalismo Fiscal en Argentina</w:t>
            </w:r>
          </w:p>
        </w:tc>
      </w:tr>
      <w:tr w:rsidR="00DF73B1" w:rsidRPr="00CE6C36" w14:paraId="088D2C78" w14:textId="77777777">
        <w:trPr>
          <w:trHeight w:val="355"/>
        </w:trPr>
        <w:tc>
          <w:tcPr>
            <w:tcW w:w="1200" w:type="dxa"/>
          </w:tcPr>
          <w:p w14:paraId="79050475" w14:textId="77777777" w:rsidR="00DF73B1" w:rsidRPr="00297A52" w:rsidRDefault="00DF73B1" w:rsidP="00297A52">
            <w:pPr>
              <w:spacing w:line="360" w:lineRule="auto"/>
              <w:rPr>
                <w:sz w:val="24"/>
                <w:szCs w:val="24"/>
                <w:lang w:val="es-ES_tradnl"/>
              </w:rPr>
            </w:pPr>
          </w:p>
        </w:tc>
        <w:tc>
          <w:tcPr>
            <w:tcW w:w="4020" w:type="dxa"/>
          </w:tcPr>
          <w:p w14:paraId="5088F1FE" w14:textId="77777777" w:rsidR="00DF73B1" w:rsidRPr="00297A52" w:rsidRDefault="00DF73B1" w:rsidP="00297A52">
            <w:pPr>
              <w:spacing w:line="360" w:lineRule="auto"/>
              <w:rPr>
                <w:sz w:val="24"/>
                <w:szCs w:val="24"/>
                <w:lang w:val="es-MX"/>
              </w:rPr>
            </w:pPr>
          </w:p>
          <w:p w14:paraId="30B88700" w14:textId="77777777" w:rsidR="00DF73B1" w:rsidRPr="00297A52" w:rsidRDefault="00DF73B1" w:rsidP="00297A52">
            <w:pPr>
              <w:spacing w:line="360" w:lineRule="auto"/>
              <w:jc w:val="center"/>
              <w:rPr>
                <w:sz w:val="24"/>
                <w:szCs w:val="24"/>
                <w:lang w:val="es-ES"/>
              </w:rPr>
            </w:pPr>
            <w:r w:rsidRPr="00297A52">
              <w:rPr>
                <w:sz w:val="24"/>
                <w:szCs w:val="24"/>
                <w:lang w:val="es-ES"/>
              </w:rPr>
              <w:t>Organización</w:t>
            </w:r>
          </w:p>
        </w:tc>
        <w:tc>
          <w:tcPr>
            <w:tcW w:w="2340" w:type="dxa"/>
          </w:tcPr>
          <w:p w14:paraId="321FC9CB" w14:textId="77777777" w:rsidR="00DF73B1" w:rsidRPr="00297A52" w:rsidRDefault="00DF73B1" w:rsidP="00297A52">
            <w:pPr>
              <w:pStyle w:val="Ttulo2"/>
              <w:spacing w:line="360" w:lineRule="auto"/>
              <w:ind w:firstLine="0"/>
              <w:rPr>
                <w:szCs w:val="24"/>
              </w:rPr>
            </w:pPr>
            <w:r w:rsidRPr="00297A52">
              <w:rPr>
                <w:szCs w:val="24"/>
              </w:rPr>
              <w:t>Transf. Nacionales / Gasto Público Provincial</w:t>
            </w:r>
          </w:p>
        </w:tc>
      </w:tr>
      <w:tr w:rsidR="00DF73B1" w:rsidRPr="00297A52" w14:paraId="7B2FB8CD" w14:textId="77777777">
        <w:trPr>
          <w:trHeight w:val="427"/>
        </w:trPr>
        <w:tc>
          <w:tcPr>
            <w:tcW w:w="1200" w:type="dxa"/>
          </w:tcPr>
          <w:p w14:paraId="2AEFA228" w14:textId="77777777" w:rsidR="00DF73B1" w:rsidRPr="00297A52" w:rsidRDefault="00DF73B1" w:rsidP="00297A52">
            <w:pPr>
              <w:spacing w:line="360" w:lineRule="auto"/>
              <w:jc w:val="center"/>
              <w:rPr>
                <w:sz w:val="24"/>
                <w:szCs w:val="24"/>
                <w:lang w:val="es-ES_tradnl"/>
              </w:rPr>
            </w:pPr>
          </w:p>
          <w:p w14:paraId="462C929A" w14:textId="77777777" w:rsidR="00DF73B1" w:rsidRPr="00297A52" w:rsidRDefault="00DF73B1" w:rsidP="00297A52">
            <w:pPr>
              <w:spacing w:line="360" w:lineRule="auto"/>
              <w:jc w:val="center"/>
              <w:rPr>
                <w:sz w:val="24"/>
                <w:szCs w:val="24"/>
                <w:lang w:val="es-ES_tradnl"/>
              </w:rPr>
            </w:pPr>
            <w:r w:rsidRPr="00297A52">
              <w:rPr>
                <w:sz w:val="24"/>
                <w:szCs w:val="24"/>
                <w:lang w:val="es-ES_tradnl"/>
              </w:rPr>
              <w:t>1853-1890</w:t>
            </w:r>
          </w:p>
        </w:tc>
        <w:tc>
          <w:tcPr>
            <w:tcW w:w="4020" w:type="dxa"/>
          </w:tcPr>
          <w:p w14:paraId="3700EF05" w14:textId="77777777" w:rsidR="00DF73B1" w:rsidRPr="00297A52" w:rsidRDefault="00DF73B1" w:rsidP="00297A52">
            <w:pPr>
              <w:spacing w:line="360" w:lineRule="auto"/>
              <w:jc w:val="center"/>
              <w:rPr>
                <w:sz w:val="24"/>
                <w:szCs w:val="24"/>
              </w:rPr>
            </w:pPr>
          </w:p>
          <w:p w14:paraId="39DE5AD3" w14:textId="77777777" w:rsidR="00DF73B1" w:rsidRPr="00297A52" w:rsidRDefault="00DF73B1" w:rsidP="00297A52">
            <w:pPr>
              <w:spacing w:line="360" w:lineRule="auto"/>
              <w:jc w:val="center"/>
              <w:rPr>
                <w:sz w:val="24"/>
                <w:szCs w:val="24"/>
              </w:rPr>
            </w:pPr>
            <w:r w:rsidRPr="00297A52">
              <w:rPr>
                <w:sz w:val="24"/>
                <w:szCs w:val="24"/>
              </w:rPr>
              <w:t>Principio de Separación de Fuentes</w:t>
            </w:r>
          </w:p>
          <w:p w14:paraId="224F197C" w14:textId="77777777" w:rsidR="00DF73B1" w:rsidRPr="00297A52" w:rsidRDefault="00DF73B1" w:rsidP="00297A52">
            <w:pPr>
              <w:spacing w:line="360" w:lineRule="auto"/>
              <w:jc w:val="center"/>
              <w:rPr>
                <w:sz w:val="24"/>
                <w:szCs w:val="24"/>
                <w:lang w:val="es-ES_tradnl"/>
              </w:rPr>
            </w:pPr>
          </w:p>
        </w:tc>
        <w:tc>
          <w:tcPr>
            <w:tcW w:w="2340" w:type="dxa"/>
          </w:tcPr>
          <w:p w14:paraId="4F9172CD" w14:textId="77777777" w:rsidR="00DF73B1" w:rsidRPr="00297A52" w:rsidRDefault="00DF73B1" w:rsidP="00297A52">
            <w:pPr>
              <w:spacing w:line="360" w:lineRule="auto"/>
              <w:jc w:val="center"/>
              <w:rPr>
                <w:sz w:val="24"/>
                <w:szCs w:val="24"/>
                <w:lang w:val="es-ES_tradnl"/>
              </w:rPr>
            </w:pPr>
          </w:p>
          <w:p w14:paraId="19EE0AA0" w14:textId="77777777" w:rsidR="00DF73B1" w:rsidRPr="00297A52" w:rsidRDefault="00DF73B1" w:rsidP="00297A52">
            <w:pPr>
              <w:spacing w:line="360" w:lineRule="auto"/>
              <w:jc w:val="center"/>
              <w:rPr>
                <w:sz w:val="24"/>
                <w:szCs w:val="24"/>
                <w:lang w:val="es-ES_tradnl"/>
              </w:rPr>
            </w:pPr>
            <w:r w:rsidRPr="00297A52">
              <w:rPr>
                <w:sz w:val="24"/>
                <w:szCs w:val="24"/>
                <w:lang w:val="es-ES_tradnl"/>
              </w:rPr>
              <w:t>5%</w:t>
            </w:r>
          </w:p>
          <w:p w14:paraId="5C1A6208" w14:textId="77777777" w:rsidR="00DF73B1" w:rsidRPr="00297A52" w:rsidRDefault="00DF73B1" w:rsidP="00297A52">
            <w:pPr>
              <w:spacing w:line="360" w:lineRule="auto"/>
              <w:jc w:val="center"/>
              <w:rPr>
                <w:sz w:val="24"/>
                <w:szCs w:val="24"/>
                <w:lang w:val="es-ES_tradnl"/>
              </w:rPr>
            </w:pPr>
            <w:r w:rsidRPr="00297A52">
              <w:rPr>
                <w:sz w:val="24"/>
                <w:szCs w:val="24"/>
                <w:lang w:val="es-ES_tradnl"/>
              </w:rPr>
              <w:t>(1890)</w:t>
            </w:r>
          </w:p>
        </w:tc>
      </w:tr>
      <w:tr w:rsidR="00DF73B1" w:rsidRPr="00297A52" w14:paraId="046DDF45" w14:textId="77777777">
        <w:trPr>
          <w:trHeight w:val="733"/>
        </w:trPr>
        <w:tc>
          <w:tcPr>
            <w:tcW w:w="1200" w:type="dxa"/>
          </w:tcPr>
          <w:p w14:paraId="70D17FE3" w14:textId="77777777" w:rsidR="00DF73B1" w:rsidRPr="00297A52" w:rsidRDefault="00DF73B1" w:rsidP="00297A52">
            <w:pPr>
              <w:spacing w:line="360" w:lineRule="auto"/>
              <w:jc w:val="center"/>
              <w:rPr>
                <w:sz w:val="24"/>
                <w:szCs w:val="24"/>
                <w:lang w:val="es-ES_tradnl"/>
              </w:rPr>
            </w:pPr>
          </w:p>
          <w:p w14:paraId="30242B91" w14:textId="77777777" w:rsidR="00DF73B1" w:rsidRPr="00297A52" w:rsidRDefault="00DF73B1" w:rsidP="00297A52">
            <w:pPr>
              <w:spacing w:line="360" w:lineRule="auto"/>
              <w:jc w:val="center"/>
              <w:rPr>
                <w:sz w:val="24"/>
                <w:szCs w:val="24"/>
                <w:lang w:val="es-ES_tradnl"/>
              </w:rPr>
            </w:pPr>
            <w:r w:rsidRPr="00297A52">
              <w:rPr>
                <w:sz w:val="24"/>
                <w:szCs w:val="24"/>
                <w:lang w:val="es-ES_tradnl"/>
              </w:rPr>
              <w:t>1890-1935</w:t>
            </w:r>
          </w:p>
          <w:p w14:paraId="76A81624" w14:textId="77777777" w:rsidR="00DF73B1" w:rsidRPr="00297A52" w:rsidRDefault="00DF73B1" w:rsidP="00297A52">
            <w:pPr>
              <w:spacing w:line="360" w:lineRule="auto"/>
              <w:jc w:val="center"/>
              <w:rPr>
                <w:sz w:val="24"/>
                <w:szCs w:val="24"/>
                <w:lang w:val="es-ES_tradnl"/>
              </w:rPr>
            </w:pPr>
          </w:p>
        </w:tc>
        <w:tc>
          <w:tcPr>
            <w:tcW w:w="4020" w:type="dxa"/>
          </w:tcPr>
          <w:p w14:paraId="29665353" w14:textId="77777777" w:rsidR="00DF73B1" w:rsidRPr="00297A52" w:rsidRDefault="00DF73B1" w:rsidP="00297A52">
            <w:pPr>
              <w:spacing w:line="360" w:lineRule="auto"/>
              <w:jc w:val="center"/>
              <w:rPr>
                <w:sz w:val="24"/>
                <w:szCs w:val="24"/>
                <w:lang w:val="es-MX"/>
              </w:rPr>
            </w:pPr>
          </w:p>
          <w:p w14:paraId="55974E86" w14:textId="77777777" w:rsidR="00DF73B1" w:rsidRPr="00297A52" w:rsidRDefault="00DF73B1" w:rsidP="00297A52">
            <w:pPr>
              <w:spacing w:line="360" w:lineRule="auto"/>
              <w:jc w:val="center"/>
              <w:rPr>
                <w:sz w:val="24"/>
                <w:szCs w:val="24"/>
                <w:lang w:val="es-MX"/>
              </w:rPr>
            </w:pPr>
            <w:r w:rsidRPr="00297A52">
              <w:rPr>
                <w:sz w:val="24"/>
                <w:szCs w:val="24"/>
                <w:lang w:val="es-MX"/>
              </w:rPr>
              <w:t>La Nación recauda impuestos internos en todo el país</w:t>
            </w:r>
          </w:p>
          <w:p w14:paraId="28AC4D70" w14:textId="77777777" w:rsidR="00DF73B1" w:rsidRPr="00297A52" w:rsidRDefault="00DF73B1" w:rsidP="00297A52">
            <w:pPr>
              <w:spacing w:line="360" w:lineRule="auto"/>
              <w:jc w:val="center"/>
              <w:rPr>
                <w:sz w:val="24"/>
                <w:szCs w:val="24"/>
                <w:lang w:val="es-ES_tradnl"/>
              </w:rPr>
            </w:pPr>
          </w:p>
        </w:tc>
        <w:tc>
          <w:tcPr>
            <w:tcW w:w="2340" w:type="dxa"/>
          </w:tcPr>
          <w:p w14:paraId="75238498" w14:textId="77777777" w:rsidR="00DF73B1" w:rsidRPr="00297A52" w:rsidRDefault="00DF73B1" w:rsidP="00297A52">
            <w:pPr>
              <w:spacing w:line="360" w:lineRule="auto"/>
              <w:jc w:val="center"/>
              <w:rPr>
                <w:sz w:val="24"/>
                <w:szCs w:val="24"/>
                <w:lang w:val="es-ES_tradnl"/>
              </w:rPr>
            </w:pPr>
          </w:p>
          <w:p w14:paraId="6EA2C349" w14:textId="77777777" w:rsidR="00DF73B1" w:rsidRPr="00297A52" w:rsidRDefault="00DF73B1" w:rsidP="00297A52">
            <w:pPr>
              <w:spacing w:line="360" w:lineRule="auto"/>
              <w:jc w:val="center"/>
              <w:rPr>
                <w:sz w:val="24"/>
                <w:szCs w:val="24"/>
                <w:lang w:val="es-ES_tradnl"/>
              </w:rPr>
            </w:pPr>
            <w:r w:rsidRPr="00297A52">
              <w:rPr>
                <w:sz w:val="24"/>
                <w:szCs w:val="24"/>
                <w:lang w:val="es-ES_tradnl"/>
              </w:rPr>
              <w:t>11,5%</w:t>
            </w:r>
          </w:p>
          <w:p w14:paraId="752AC253" w14:textId="77777777" w:rsidR="00DF73B1" w:rsidRPr="00297A52" w:rsidRDefault="00DF73B1" w:rsidP="00297A52">
            <w:pPr>
              <w:spacing w:line="360" w:lineRule="auto"/>
              <w:jc w:val="center"/>
              <w:rPr>
                <w:sz w:val="24"/>
                <w:szCs w:val="24"/>
                <w:lang w:val="es-ES_tradnl"/>
              </w:rPr>
            </w:pPr>
            <w:r w:rsidRPr="00297A52">
              <w:rPr>
                <w:sz w:val="24"/>
                <w:szCs w:val="24"/>
                <w:lang w:val="es-ES_tradnl"/>
              </w:rPr>
              <w:t>(1910)</w:t>
            </w:r>
          </w:p>
        </w:tc>
      </w:tr>
      <w:tr w:rsidR="00DF73B1" w:rsidRPr="00297A52" w14:paraId="197E198E" w14:textId="77777777">
        <w:trPr>
          <w:trHeight w:val="641"/>
        </w:trPr>
        <w:tc>
          <w:tcPr>
            <w:tcW w:w="1200" w:type="dxa"/>
          </w:tcPr>
          <w:p w14:paraId="061B09F3" w14:textId="77777777" w:rsidR="00DF73B1" w:rsidRPr="00297A52" w:rsidRDefault="00DF73B1" w:rsidP="00297A52">
            <w:pPr>
              <w:spacing w:line="360" w:lineRule="auto"/>
              <w:jc w:val="center"/>
              <w:rPr>
                <w:sz w:val="24"/>
                <w:szCs w:val="24"/>
                <w:lang w:val="es-ES_tradnl"/>
              </w:rPr>
            </w:pPr>
          </w:p>
          <w:p w14:paraId="56596560" w14:textId="77777777" w:rsidR="00DF73B1" w:rsidRPr="00297A52" w:rsidRDefault="00DF73B1" w:rsidP="00297A52">
            <w:pPr>
              <w:spacing w:line="360" w:lineRule="auto"/>
              <w:jc w:val="center"/>
              <w:rPr>
                <w:sz w:val="24"/>
                <w:szCs w:val="24"/>
                <w:lang w:val="es-ES_tradnl"/>
              </w:rPr>
            </w:pPr>
          </w:p>
          <w:p w14:paraId="3E92F342" w14:textId="77777777" w:rsidR="00DF73B1" w:rsidRPr="00297A52" w:rsidRDefault="00DF73B1" w:rsidP="00297A52">
            <w:pPr>
              <w:spacing w:line="360" w:lineRule="auto"/>
              <w:jc w:val="center"/>
              <w:rPr>
                <w:sz w:val="24"/>
                <w:szCs w:val="24"/>
                <w:lang w:val="es-ES_tradnl"/>
              </w:rPr>
            </w:pPr>
            <w:r w:rsidRPr="00297A52">
              <w:rPr>
                <w:sz w:val="24"/>
                <w:szCs w:val="24"/>
                <w:lang w:val="es-ES_tradnl"/>
              </w:rPr>
              <w:t>1935-1946</w:t>
            </w:r>
          </w:p>
          <w:p w14:paraId="268B0D96" w14:textId="77777777" w:rsidR="00DF73B1" w:rsidRPr="00297A52" w:rsidRDefault="00DF73B1" w:rsidP="00297A52">
            <w:pPr>
              <w:spacing w:line="360" w:lineRule="auto"/>
              <w:jc w:val="center"/>
              <w:rPr>
                <w:sz w:val="24"/>
                <w:szCs w:val="24"/>
                <w:lang w:val="es-ES_tradnl"/>
              </w:rPr>
            </w:pPr>
          </w:p>
        </w:tc>
        <w:tc>
          <w:tcPr>
            <w:tcW w:w="4020" w:type="dxa"/>
          </w:tcPr>
          <w:p w14:paraId="3F94E878" w14:textId="77777777" w:rsidR="00DF73B1" w:rsidRPr="00297A52" w:rsidRDefault="00DF73B1" w:rsidP="00297A52">
            <w:pPr>
              <w:spacing w:line="360" w:lineRule="auto"/>
              <w:jc w:val="center"/>
              <w:rPr>
                <w:sz w:val="24"/>
                <w:szCs w:val="24"/>
                <w:lang w:val="es-ES_tradnl"/>
              </w:rPr>
            </w:pPr>
          </w:p>
          <w:p w14:paraId="4EA7072E" w14:textId="77777777" w:rsidR="00DF73B1" w:rsidRPr="00297A52" w:rsidRDefault="00DF73B1" w:rsidP="00297A52">
            <w:pPr>
              <w:spacing w:line="360" w:lineRule="auto"/>
              <w:jc w:val="center"/>
              <w:rPr>
                <w:sz w:val="24"/>
                <w:szCs w:val="24"/>
                <w:lang w:val="es-ES_tradnl"/>
              </w:rPr>
            </w:pPr>
            <w:r w:rsidRPr="00297A52">
              <w:rPr>
                <w:sz w:val="24"/>
                <w:szCs w:val="24"/>
                <w:lang w:val="es-ES_tradnl"/>
              </w:rPr>
              <w:t>Regímenes de coparticipación de impuestos internos y de impuestos de réditos, a las ventas y otros</w:t>
            </w:r>
          </w:p>
          <w:p w14:paraId="78CB4367" w14:textId="77777777" w:rsidR="00DF73B1" w:rsidRPr="00297A52" w:rsidRDefault="00DF73B1" w:rsidP="00297A52">
            <w:pPr>
              <w:spacing w:line="360" w:lineRule="auto"/>
              <w:jc w:val="center"/>
              <w:rPr>
                <w:sz w:val="24"/>
                <w:szCs w:val="24"/>
                <w:lang w:val="es-ES_tradnl"/>
              </w:rPr>
            </w:pPr>
          </w:p>
        </w:tc>
        <w:tc>
          <w:tcPr>
            <w:tcW w:w="2340" w:type="dxa"/>
          </w:tcPr>
          <w:p w14:paraId="28E5C280" w14:textId="77777777" w:rsidR="00DF73B1" w:rsidRPr="00297A52" w:rsidRDefault="00DF73B1" w:rsidP="00297A52">
            <w:pPr>
              <w:spacing w:line="360" w:lineRule="auto"/>
              <w:jc w:val="center"/>
              <w:rPr>
                <w:sz w:val="24"/>
                <w:szCs w:val="24"/>
                <w:lang w:val="es-ES_tradnl"/>
              </w:rPr>
            </w:pPr>
          </w:p>
          <w:p w14:paraId="11637A8D" w14:textId="77777777" w:rsidR="00DF73B1" w:rsidRPr="00297A52" w:rsidRDefault="00DF73B1" w:rsidP="00297A52">
            <w:pPr>
              <w:spacing w:line="360" w:lineRule="auto"/>
              <w:jc w:val="center"/>
              <w:rPr>
                <w:sz w:val="24"/>
                <w:szCs w:val="24"/>
                <w:lang w:val="es-ES_tradnl"/>
              </w:rPr>
            </w:pPr>
            <w:r w:rsidRPr="00297A52">
              <w:rPr>
                <w:sz w:val="24"/>
                <w:szCs w:val="24"/>
                <w:lang w:val="es-ES_tradnl"/>
              </w:rPr>
              <w:t>29%</w:t>
            </w:r>
          </w:p>
          <w:p w14:paraId="306122BA" w14:textId="77777777" w:rsidR="00DF73B1" w:rsidRPr="00297A52" w:rsidRDefault="00500B54" w:rsidP="00297A52">
            <w:pPr>
              <w:spacing w:line="360" w:lineRule="auto"/>
              <w:rPr>
                <w:sz w:val="24"/>
                <w:szCs w:val="24"/>
                <w:lang w:val="es-ES_tradnl"/>
              </w:rPr>
            </w:pPr>
            <w:r w:rsidRPr="00297A52">
              <w:rPr>
                <w:sz w:val="24"/>
                <w:szCs w:val="24"/>
                <w:lang w:val="es-ES_tradnl"/>
              </w:rPr>
              <w:t xml:space="preserve">              </w:t>
            </w:r>
            <w:r w:rsidR="00DF73B1" w:rsidRPr="00297A52">
              <w:rPr>
                <w:sz w:val="24"/>
                <w:szCs w:val="24"/>
                <w:lang w:val="es-ES_tradnl"/>
              </w:rPr>
              <w:t>(1939)</w:t>
            </w:r>
          </w:p>
        </w:tc>
      </w:tr>
      <w:tr w:rsidR="00DF73B1" w:rsidRPr="00297A52" w14:paraId="3DDEA5EE" w14:textId="77777777">
        <w:trPr>
          <w:trHeight w:val="353"/>
        </w:trPr>
        <w:tc>
          <w:tcPr>
            <w:tcW w:w="1200" w:type="dxa"/>
          </w:tcPr>
          <w:p w14:paraId="15A72A37" w14:textId="77777777" w:rsidR="00DF73B1" w:rsidRPr="00297A52" w:rsidRDefault="00DF73B1" w:rsidP="00297A52">
            <w:pPr>
              <w:spacing w:line="360" w:lineRule="auto"/>
              <w:jc w:val="center"/>
              <w:rPr>
                <w:sz w:val="24"/>
                <w:szCs w:val="24"/>
                <w:lang w:val="es-ES_tradnl"/>
              </w:rPr>
            </w:pPr>
          </w:p>
          <w:p w14:paraId="490B3A59" w14:textId="77777777" w:rsidR="00DF73B1" w:rsidRPr="00297A52" w:rsidRDefault="00DF73B1" w:rsidP="00297A52">
            <w:pPr>
              <w:spacing w:line="360" w:lineRule="auto"/>
              <w:jc w:val="center"/>
              <w:rPr>
                <w:sz w:val="24"/>
                <w:szCs w:val="24"/>
                <w:lang w:val="es-ES_tradnl"/>
              </w:rPr>
            </w:pPr>
            <w:r w:rsidRPr="00297A52">
              <w:rPr>
                <w:sz w:val="24"/>
                <w:szCs w:val="24"/>
                <w:lang w:val="es-ES_tradnl"/>
              </w:rPr>
              <w:t>1947-1972</w:t>
            </w:r>
          </w:p>
        </w:tc>
        <w:tc>
          <w:tcPr>
            <w:tcW w:w="4020" w:type="dxa"/>
          </w:tcPr>
          <w:p w14:paraId="4ECA5547" w14:textId="77777777" w:rsidR="00DF73B1" w:rsidRPr="00297A52" w:rsidRDefault="00DF73B1" w:rsidP="00297A52">
            <w:pPr>
              <w:spacing w:line="360" w:lineRule="auto"/>
              <w:jc w:val="center"/>
              <w:rPr>
                <w:sz w:val="24"/>
                <w:szCs w:val="24"/>
                <w:lang w:val="es-ES_tradnl"/>
              </w:rPr>
            </w:pPr>
          </w:p>
          <w:p w14:paraId="433662AE" w14:textId="77777777" w:rsidR="00DF73B1" w:rsidRPr="00297A52" w:rsidRDefault="00DF73B1" w:rsidP="00297A52">
            <w:pPr>
              <w:spacing w:line="360" w:lineRule="auto"/>
              <w:jc w:val="center"/>
              <w:rPr>
                <w:sz w:val="24"/>
                <w:szCs w:val="24"/>
                <w:lang w:val="es-ES_tradnl"/>
              </w:rPr>
            </w:pPr>
            <w:r w:rsidRPr="00297A52">
              <w:rPr>
                <w:sz w:val="24"/>
                <w:szCs w:val="24"/>
                <w:lang w:val="es-ES_tradnl"/>
              </w:rPr>
              <w:t>Consolidación del sistema de coparticipación federal</w:t>
            </w:r>
          </w:p>
          <w:p w14:paraId="1874778B" w14:textId="77777777" w:rsidR="00DF73B1" w:rsidRPr="00297A52" w:rsidRDefault="00DF73B1" w:rsidP="00297A52">
            <w:pPr>
              <w:spacing w:line="360" w:lineRule="auto"/>
              <w:jc w:val="center"/>
              <w:rPr>
                <w:sz w:val="24"/>
                <w:szCs w:val="24"/>
                <w:lang w:val="es-ES_tradnl"/>
              </w:rPr>
            </w:pPr>
          </w:p>
        </w:tc>
        <w:tc>
          <w:tcPr>
            <w:tcW w:w="2340" w:type="dxa"/>
          </w:tcPr>
          <w:p w14:paraId="471ACA2A" w14:textId="77777777" w:rsidR="00DF73B1" w:rsidRPr="00297A52" w:rsidRDefault="00DF73B1" w:rsidP="00297A52">
            <w:pPr>
              <w:spacing w:line="360" w:lineRule="auto"/>
              <w:jc w:val="center"/>
              <w:rPr>
                <w:sz w:val="24"/>
                <w:szCs w:val="24"/>
                <w:lang w:val="es-ES_tradnl"/>
              </w:rPr>
            </w:pPr>
          </w:p>
          <w:p w14:paraId="69CA8FB6" w14:textId="77777777" w:rsidR="00DF73B1" w:rsidRPr="00297A52" w:rsidRDefault="00DF73B1" w:rsidP="00297A52">
            <w:pPr>
              <w:spacing w:line="360" w:lineRule="auto"/>
              <w:jc w:val="center"/>
              <w:rPr>
                <w:sz w:val="24"/>
                <w:szCs w:val="24"/>
                <w:lang w:val="es-ES_tradnl"/>
              </w:rPr>
            </w:pPr>
            <w:r w:rsidRPr="00297A52">
              <w:rPr>
                <w:sz w:val="24"/>
                <w:szCs w:val="24"/>
                <w:lang w:val="es-ES_tradnl"/>
              </w:rPr>
              <w:t>47%</w:t>
            </w:r>
          </w:p>
          <w:p w14:paraId="1AF82CE2" w14:textId="77777777" w:rsidR="00DF73B1" w:rsidRPr="00297A52" w:rsidRDefault="00DF73B1" w:rsidP="00297A52">
            <w:pPr>
              <w:spacing w:line="360" w:lineRule="auto"/>
              <w:jc w:val="center"/>
              <w:rPr>
                <w:sz w:val="24"/>
                <w:szCs w:val="24"/>
                <w:lang w:val="es-ES_tradnl"/>
              </w:rPr>
            </w:pPr>
            <w:r w:rsidRPr="00297A52">
              <w:rPr>
                <w:sz w:val="24"/>
                <w:szCs w:val="24"/>
                <w:lang w:val="es-ES_tradnl"/>
              </w:rPr>
              <w:t>(1960)</w:t>
            </w:r>
          </w:p>
        </w:tc>
      </w:tr>
      <w:tr w:rsidR="00DF73B1" w:rsidRPr="00297A52" w14:paraId="23FFAEE8" w14:textId="77777777">
        <w:trPr>
          <w:trHeight w:val="417"/>
        </w:trPr>
        <w:tc>
          <w:tcPr>
            <w:tcW w:w="1200" w:type="dxa"/>
          </w:tcPr>
          <w:p w14:paraId="21906E69" w14:textId="77777777" w:rsidR="00DF73B1" w:rsidRPr="00297A52" w:rsidRDefault="00DF73B1" w:rsidP="00297A52">
            <w:pPr>
              <w:spacing w:line="360" w:lineRule="auto"/>
              <w:jc w:val="center"/>
              <w:rPr>
                <w:sz w:val="24"/>
                <w:szCs w:val="24"/>
                <w:lang w:val="es-ES_tradnl"/>
              </w:rPr>
            </w:pPr>
          </w:p>
          <w:p w14:paraId="3CE8688B" w14:textId="77777777" w:rsidR="00DF73B1" w:rsidRPr="00297A52" w:rsidRDefault="00DF73B1" w:rsidP="00297A52">
            <w:pPr>
              <w:spacing w:line="360" w:lineRule="auto"/>
              <w:jc w:val="center"/>
              <w:rPr>
                <w:sz w:val="24"/>
                <w:szCs w:val="24"/>
                <w:lang w:val="es-ES_tradnl"/>
              </w:rPr>
            </w:pPr>
            <w:r w:rsidRPr="00297A52">
              <w:rPr>
                <w:sz w:val="24"/>
                <w:szCs w:val="24"/>
                <w:lang w:val="es-ES_tradnl"/>
              </w:rPr>
              <w:t>1973-1980</w:t>
            </w:r>
          </w:p>
          <w:p w14:paraId="3AFF7164" w14:textId="77777777" w:rsidR="00DF73B1" w:rsidRPr="00297A52" w:rsidRDefault="00DF73B1" w:rsidP="00297A52">
            <w:pPr>
              <w:spacing w:line="360" w:lineRule="auto"/>
              <w:jc w:val="center"/>
              <w:rPr>
                <w:sz w:val="24"/>
                <w:szCs w:val="24"/>
                <w:lang w:val="es-ES_tradnl"/>
              </w:rPr>
            </w:pPr>
          </w:p>
        </w:tc>
        <w:tc>
          <w:tcPr>
            <w:tcW w:w="4020" w:type="dxa"/>
          </w:tcPr>
          <w:p w14:paraId="74ADDB72" w14:textId="77777777" w:rsidR="00DF73B1" w:rsidRPr="00297A52" w:rsidRDefault="00DF73B1" w:rsidP="00297A52">
            <w:pPr>
              <w:pStyle w:val="Textonotapie"/>
              <w:spacing w:line="360" w:lineRule="auto"/>
              <w:jc w:val="center"/>
              <w:rPr>
                <w:sz w:val="24"/>
                <w:szCs w:val="24"/>
                <w:lang w:val="es-MX"/>
              </w:rPr>
            </w:pPr>
          </w:p>
          <w:p w14:paraId="4CC8A79D" w14:textId="77777777" w:rsidR="00DF73B1" w:rsidRPr="00297A52" w:rsidRDefault="00DF73B1" w:rsidP="00297A52">
            <w:pPr>
              <w:pStyle w:val="Textonotapie"/>
              <w:spacing w:line="360" w:lineRule="auto"/>
              <w:jc w:val="center"/>
              <w:rPr>
                <w:sz w:val="24"/>
                <w:szCs w:val="24"/>
                <w:lang w:val="es-MX"/>
              </w:rPr>
            </w:pPr>
            <w:r w:rsidRPr="00297A52">
              <w:rPr>
                <w:sz w:val="24"/>
                <w:szCs w:val="24"/>
                <w:lang w:val="es-MX"/>
              </w:rPr>
              <w:t>Unificación de regímenes de coparticipación, Ley 20221</w:t>
            </w:r>
          </w:p>
          <w:p w14:paraId="48D30DF9" w14:textId="77777777" w:rsidR="00DF73B1" w:rsidRPr="00297A52" w:rsidRDefault="00DF73B1" w:rsidP="00297A52">
            <w:pPr>
              <w:pStyle w:val="Textonotapie"/>
              <w:spacing w:line="360" w:lineRule="auto"/>
              <w:jc w:val="center"/>
              <w:rPr>
                <w:sz w:val="24"/>
                <w:szCs w:val="24"/>
                <w:lang w:val="es-ES_tradnl"/>
              </w:rPr>
            </w:pPr>
          </w:p>
        </w:tc>
        <w:tc>
          <w:tcPr>
            <w:tcW w:w="2340" w:type="dxa"/>
          </w:tcPr>
          <w:p w14:paraId="63CBDE6D" w14:textId="77777777" w:rsidR="00DF73B1" w:rsidRPr="00297A52" w:rsidRDefault="00DF73B1" w:rsidP="00297A52">
            <w:pPr>
              <w:spacing w:line="360" w:lineRule="auto"/>
              <w:jc w:val="center"/>
              <w:rPr>
                <w:sz w:val="24"/>
                <w:szCs w:val="24"/>
                <w:lang w:val="es-ES_tradnl"/>
              </w:rPr>
            </w:pPr>
          </w:p>
          <w:p w14:paraId="1F20D4B1" w14:textId="77777777" w:rsidR="00DF73B1" w:rsidRPr="00297A52" w:rsidRDefault="00DF73B1" w:rsidP="00297A52">
            <w:pPr>
              <w:spacing w:line="360" w:lineRule="auto"/>
              <w:jc w:val="center"/>
              <w:rPr>
                <w:sz w:val="24"/>
                <w:szCs w:val="24"/>
                <w:lang w:val="es-ES_tradnl"/>
              </w:rPr>
            </w:pPr>
            <w:r w:rsidRPr="00297A52">
              <w:rPr>
                <w:sz w:val="24"/>
                <w:szCs w:val="24"/>
                <w:lang w:val="es-ES_tradnl"/>
              </w:rPr>
              <w:t>62%</w:t>
            </w:r>
          </w:p>
          <w:p w14:paraId="498C3CA7" w14:textId="77777777" w:rsidR="00DF73B1" w:rsidRPr="00297A52" w:rsidRDefault="00DF73B1" w:rsidP="00297A52">
            <w:pPr>
              <w:spacing w:line="360" w:lineRule="auto"/>
              <w:jc w:val="center"/>
              <w:rPr>
                <w:sz w:val="24"/>
                <w:szCs w:val="24"/>
                <w:lang w:val="es-ES_tradnl"/>
              </w:rPr>
            </w:pPr>
            <w:r w:rsidRPr="00297A52">
              <w:rPr>
                <w:sz w:val="24"/>
                <w:szCs w:val="24"/>
                <w:lang w:val="es-ES_tradnl"/>
              </w:rPr>
              <w:t>(1977)</w:t>
            </w:r>
          </w:p>
        </w:tc>
      </w:tr>
      <w:tr w:rsidR="00DF73B1" w:rsidRPr="00297A52" w14:paraId="5B41D542" w14:textId="77777777">
        <w:trPr>
          <w:trHeight w:val="280"/>
        </w:trPr>
        <w:tc>
          <w:tcPr>
            <w:tcW w:w="1200" w:type="dxa"/>
          </w:tcPr>
          <w:p w14:paraId="22E5C4C3" w14:textId="77777777" w:rsidR="00DF73B1" w:rsidRPr="00297A52" w:rsidRDefault="00DF73B1" w:rsidP="00297A52">
            <w:pPr>
              <w:spacing w:line="360" w:lineRule="auto"/>
              <w:jc w:val="center"/>
              <w:rPr>
                <w:sz w:val="24"/>
                <w:szCs w:val="24"/>
                <w:lang w:val="es-ES_tradnl"/>
              </w:rPr>
            </w:pPr>
          </w:p>
          <w:p w14:paraId="63BA3572" w14:textId="77777777" w:rsidR="00DF73B1" w:rsidRPr="00297A52" w:rsidRDefault="00DF73B1" w:rsidP="00297A52">
            <w:pPr>
              <w:spacing w:line="360" w:lineRule="auto"/>
              <w:jc w:val="center"/>
              <w:rPr>
                <w:sz w:val="24"/>
                <w:szCs w:val="24"/>
                <w:lang w:val="es-ES_tradnl"/>
              </w:rPr>
            </w:pPr>
            <w:r w:rsidRPr="00297A52">
              <w:rPr>
                <w:sz w:val="24"/>
                <w:szCs w:val="24"/>
                <w:lang w:val="es-ES_tradnl"/>
              </w:rPr>
              <w:t>1980-1988</w:t>
            </w:r>
          </w:p>
          <w:p w14:paraId="79A130A0" w14:textId="77777777" w:rsidR="00DF73B1" w:rsidRPr="00297A52" w:rsidRDefault="00DF73B1" w:rsidP="00297A52">
            <w:pPr>
              <w:spacing w:line="360" w:lineRule="auto"/>
              <w:jc w:val="center"/>
              <w:rPr>
                <w:sz w:val="24"/>
                <w:szCs w:val="24"/>
                <w:lang w:val="es-ES_tradnl"/>
              </w:rPr>
            </w:pPr>
          </w:p>
        </w:tc>
        <w:tc>
          <w:tcPr>
            <w:tcW w:w="4020" w:type="dxa"/>
          </w:tcPr>
          <w:p w14:paraId="37D35EA4" w14:textId="77777777" w:rsidR="006247F7" w:rsidRPr="00297A52" w:rsidRDefault="006247F7" w:rsidP="00297A52">
            <w:pPr>
              <w:pStyle w:val="Ttulo4"/>
              <w:spacing w:line="360" w:lineRule="auto"/>
              <w:jc w:val="center"/>
              <w:rPr>
                <w:szCs w:val="24"/>
              </w:rPr>
            </w:pPr>
          </w:p>
          <w:p w14:paraId="42E27E70" w14:textId="77777777" w:rsidR="00DF73B1" w:rsidRPr="00297A52" w:rsidRDefault="00DF73B1" w:rsidP="00297A52">
            <w:pPr>
              <w:pStyle w:val="Ttulo4"/>
              <w:spacing w:line="360" w:lineRule="auto"/>
              <w:jc w:val="center"/>
              <w:rPr>
                <w:szCs w:val="24"/>
              </w:rPr>
            </w:pPr>
            <w:r w:rsidRPr="00297A52">
              <w:rPr>
                <w:szCs w:val="24"/>
              </w:rPr>
              <w:t>Pre-coparticipación y vacío legislativo</w:t>
            </w:r>
          </w:p>
          <w:p w14:paraId="061965C2" w14:textId="77777777" w:rsidR="00DF73B1" w:rsidRPr="00297A52" w:rsidRDefault="00DF73B1" w:rsidP="00297A52">
            <w:pPr>
              <w:spacing w:line="360" w:lineRule="auto"/>
              <w:jc w:val="center"/>
              <w:rPr>
                <w:sz w:val="24"/>
                <w:szCs w:val="24"/>
                <w:lang w:val="es-AR"/>
              </w:rPr>
            </w:pPr>
          </w:p>
        </w:tc>
        <w:tc>
          <w:tcPr>
            <w:tcW w:w="2340" w:type="dxa"/>
          </w:tcPr>
          <w:p w14:paraId="17617981" w14:textId="77777777" w:rsidR="00DF73B1" w:rsidRPr="00297A52" w:rsidRDefault="00DF73B1" w:rsidP="00297A52">
            <w:pPr>
              <w:spacing w:line="360" w:lineRule="auto"/>
              <w:jc w:val="center"/>
              <w:rPr>
                <w:sz w:val="24"/>
                <w:szCs w:val="24"/>
                <w:lang w:val="es-ES_tradnl"/>
              </w:rPr>
            </w:pPr>
          </w:p>
          <w:p w14:paraId="117EFBEB" w14:textId="77777777" w:rsidR="00DF73B1" w:rsidRPr="00297A52" w:rsidRDefault="00DF73B1" w:rsidP="00297A52">
            <w:pPr>
              <w:spacing w:line="360" w:lineRule="auto"/>
              <w:jc w:val="center"/>
              <w:rPr>
                <w:sz w:val="24"/>
                <w:szCs w:val="24"/>
                <w:lang w:val="es-ES_tradnl"/>
              </w:rPr>
            </w:pPr>
            <w:r w:rsidRPr="00297A52">
              <w:rPr>
                <w:sz w:val="24"/>
                <w:szCs w:val="24"/>
                <w:lang w:val="es-ES_tradnl"/>
              </w:rPr>
              <w:t>72%</w:t>
            </w:r>
          </w:p>
          <w:p w14:paraId="4F9326BC" w14:textId="77777777" w:rsidR="00DF73B1" w:rsidRPr="00297A52" w:rsidRDefault="00DF73B1" w:rsidP="00297A52">
            <w:pPr>
              <w:spacing w:line="360" w:lineRule="auto"/>
              <w:jc w:val="center"/>
              <w:rPr>
                <w:sz w:val="24"/>
                <w:szCs w:val="24"/>
                <w:lang w:val="es-ES_tradnl"/>
              </w:rPr>
            </w:pPr>
            <w:r w:rsidRPr="00297A52">
              <w:rPr>
                <w:sz w:val="24"/>
                <w:szCs w:val="24"/>
                <w:lang w:val="es-ES_tradnl"/>
              </w:rPr>
              <w:t>(1983)</w:t>
            </w:r>
          </w:p>
        </w:tc>
      </w:tr>
      <w:tr w:rsidR="00DF73B1" w:rsidRPr="00297A52" w14:paraId="696CDCA6" w14:textId="77777777">
        <w:trPr>
          <w:trHeight w:val="425"/>
        </w:trPr>
        <w:tc>
          <w:tcPr>
            <w:tcW w:w="1200" w:type="dxa"/>
          </w:tcPr>
          <w:p w14:paraId="079F3273" w14:textId="77777777" w:rsidR="00DF73B1" w:rsidRPr="00297A52" w:rsidRDefault="00DF73B1" w:rsidP="00297A52">
            <w:pPr>
              <w:spacing w:line="360" w:lineRule="auto"/>
              <w:jc w:val="center"/>
              <w:rPr>
                <w:sz w:val="24"/>
                <w:szCs w:val="24"/>
                <w:lang w:val="es-ES_tradnl"/>
              </w:rPr>
            </w:pPr>
          </w:p>
          <w:p w14:paraId="015F27B8" w14:textId="77777777" w:rsidR="00DF73B1" w:rsidRPr="00297A52" w:rsidRDefault="00DF73B1" w:rsidP="00297A52">
            <w:pPr>
              <w:spacing w:line="360" w:lineRule="auto"/>
              <w:jc w:val="center"/>
              <w:rPr>
                <w:sz w:val="24"/>
                <w:szCs w:val="24"/>
                <w:lang w:val="es-ES_tradnl"/>
              </w:rPr>
            </w:pPr>
            <w:r w:rsidRPr="00297A52">
              <w:rPr>
                <w:sz w:val="24"/>
                <w:szCs w:val="24"/>
                <w:lang w:val="es-ES_tradnl"/>
              </w:rPr>
              <w:t>1988-1991</w:t>
            </w:r>
          </w:p>
          <w:p w14:paraId="3A836B53" w14:textId="77777777" w:rsidR="00DF73B1" w:rsidRPr="00297A52" w:rsidRDefault="00DF73B1" w:rsidP="00297A52">
            <w:pPr>
              <w:spacing w:line="360" w:lineRule="auto"/>
              <w:jc w:val="center"/>
              <w:rPr>
                <w:sz w:val="24"/>
                <w:szCs w:val="24"/>
                <w:lang w:val="es-ES_tradnl"/>
              </w:rPr>
            </w:pPr>
          </w:p>
        </w:tc>
        <w:tc>
          <w:tcPr>
            <w:tcW w:w="4020" w:type="dxa"/>
          </w:tcPr>
          <w:p w14:paraId="5EB932CE" w14:textId="77777777" w:rsidR="00DF73B1" w:rsidRPr="00297A52" w:rsidRDefault="00DF73B1" w:rsidP="00297A52">
            <w:pPr>
              <w:spacing w:line="360" w:lineRule="auto"/>
              <w:jc w:val="center"/>
              <w:rPr>
                <w:sz w:val="24"/>
                <w:szCs w:val="24"/>
                <w:lang w:val="es-MX"/>
              </w:rPr>
            </w:pPr>
          </w:p>
          <w:p w14:paraId="01DF0479" w14:textId="77777777" w:rsidR="00DF73B1" w:rsidRPr="00297A52" w:rsidRDefault="00DF73B1" w:rsidP="00297A52">
            <w:pPr>
              <w:spacing w:line="360" w:lineRule="auto"/>
              <w:jc w:val="center"/>
              <w:rPr>
                <w:sz w:val="24"/>
                <w:szCs w:val="24"/>
                <w:lang w:val="es-MX"/>
              </w:rPr>
            </w:pPr>
            <w:r w:rsidRPr="00297A52">
              <w:rPr>
                <w:sz w:val="24"/>
                <w:szCs w:val="24"/>
                <w:lang w:val="es-MX"/>
              </w:rPr>
              <w:t>Nuevo régimen de coparticipación, Ley 23548</w:t>
            </w:r>
          </w:p>
          <w:p w14:paraId="63BB3E31" w14:textId="77777777" w:rsidR="00DF73B1" w:rsidRPr="00297A52" w:rsidRDefault="00DF73B1" w:rsidP="00297A52">
            <w:pPr>
              <w:spacing w:line="360" w:lineRule="auto"/>
              <w:jc w:val="center"/>
              <w:rPr>
                <w:sz w:val="24"/>
                <w:szCs w:val="24"/>
                <w:lang w:val="es-ES_tradnl"/>
              </w:rPr>
            </w:pPr>
          </w:p>
        </w:tc>
        <w:tc>
          <w:tcPr>
            <w:tcW w:w="2340" w:type="dxa"/>
          </w:tcPr>
          <w:p w14:paraId="214DCC66" w14:textId="77777777" w:rsidR="00DF73B1" w:rsidRPr="00297A52" w:rsidRDefault="00DF73B1" w:rsidP="00297A52">
            <w:pPr>
              <w:spacing w:line="360" w:lineRule="auto"/>
              <w:jc w:val="center"/>
              <w:rPr>
                <w:sz w:val="24"/>
                <w:szCs w:val="24"/>
                <w:lang w:val="es-ES_tradnl"/>
              </w:rPr>
            </w:pPr>
          </w:p>
          <w:p w14:paraId="40A7336E" w14:textId="77777777" w:rsidR="00DF73B1" w:rsidRPr="00297A52" w:rsidRDefault="00DF73B1" w:rsidP="00297A52">
            <w:pPr>
              <w:spacing w:line="360" w:lineRule="auto"/>
              <w:jc w:val="center"/>
              <w:rPr>
                <w:sz w:val="24"/>
                <w:szCs w:val="24"/>
                <w:lang w:val="es-ES_tradnl"/>
              </w:rPr>
            </w:pPr>
            <w:r w:rsidRPr="00297A52">
              <w:rPr>
                <w:sz w:val="24"/>
                <w:szCs w:val="24"/>
                <w:lang w:val="es-ES_tradnl"/>
              </w:rPr>
              <w:t>s/d</w:t>
            </w:r>
          </w:p>
        </w:tc>
      </w:tr>
      <w:tr w:rsidR="00DF73B1" w:rsidRPr="00297A52" w14:paraId="2D7DADB7" w14:textId="77777777">
        <w:trPr>
          <w:trHeight w:val="416"/>
        </w:trPr>
        <w:tc>
          <w:tcPr>
            <w:tcW w:w="1200" w:type="dxa"/>
          </w:tcPr>
          <w:p w14:paraId="1059B668" w14:textId="77777777" w:rsidR="00DF73B1" w:rsidRPr="00297A52" w:rsidRDefault="00DF73B1" w:rsidP="00297A52">
            <w:pPr>
              <w:spacing w:line="360" w:lineRule="auto"/>
              <w:jc w:val="center"/>
              <w:rPr>
                <w:sz w:val="24"/>
                <w:szCs w:val="24"/>
                <w:lang w:val="es-ES_tradnl"/>
              </w:rPr>
            </w:pPr>
          </w:p>
          <w:p w14:paraId="5CB76F0C" w14:textId="77777777" w:rsidR="00DF73B1" w:rsidRPr="00297A52" w:rsidRDefault="00DF73B1" w:rsidP="00297A52">
            <w:pPr>
              <w:spacing w:line="360" w:lineRule="auto"/>
              <w:jc w:val="center"/>
              <w:rPr>
                <w:sz w:val="24"/>
                <w:szCs w:val="24"/>
                <w:lang w:val="es-ES_tradnl"/>
              </w:rPr>
            </w:pPr>
            <w:r w:rsidRPr="00297A52">
              <w:rPr>
                <w:sz w:val="24"/>
                <w:szCs w:val="24"/>
                <w:lang w:val="es-ES_tradnl"/>
              </w:rPr>
              <w:t>1992-2001</w:t>
            </w:r>
          </w:p>
          <w:p w14:paraId="042C1334" w14:textId="77777777" w:rsidR="00DF73B1" w:rsidRPr="00297A52" w:rsidRDefault="00DF73B1" w:rsidP="00297A52">
            <w:pPr>
              <w:spacing w:line="360" w:lineRule="auto"/>
              <w:jc w:val="center"/>
              <w:rPr>
                <w:sz w:val="24"/>
                <w:szCs w:val="24"/>
                <w:lang w:val="es-ES_tradnl"/>
              </w:rPr>
            </w:pPr>
          </w:p>
        </w:tc>
        <w:tc>
          <w:tcPr>
            <w:tcW w:w="4020" w:type="dxa"/>
          </w:tcPr>
          <w:p w14:paraId="29E95E53" w14:textId="77777777" w:rsidR="00DF73B1" w:rsidRPr="00297A52" w:rsidRDefault="00DF73B1" w:rsidP="00297A52">
            <w:pPr>
              <w:spacing w:line="360" w:lineRule="auto"/>
              <w:jc w:val="center"/>
              <w:rPr>
                <w:sz w:val="24"/>
                <w:szCs w:val="24"/>
              </w:rPr>
            </w:pPr>
          </w:p>
          <w:p w14:paraId="78D464F9" w14:textId="77777777" w:rsidR="00DF73B1" w:rsidRPr="00297A52" w:rsidRDefault="00DF73B1" w:rsidP="00297A52">
            <w:pPr>
              <w:spacing w:line="360" w:lineRule="auto"/>
              <w:jc w:val="center"/>
              <w:rPr>
                <w:sz w:val="24"/>
                <w:szCs w:val="24"/>
                <w:lang w:val="af-ZA"/>
              </w:rPr>
            </w:pPr>
            <w:r w:rsidRPr="00297A52">
              <w:rPr>
                <w:sz w:val="24"/>
                <w:szCs w:val="24"/>
                <w:lang w:val="af-ZA"/>
              </w:rPr>
              <w:t>Nuevas pre-coparticipaciones</w:t>
            </w:r>
          </w:p>
        </w:tc>
        <w:tc>
          <w:tcPr>
            <w:tcW w:w="2340" w:type="dxa"/>
          </w:tcPr>
          <w:p w14:paraId="0732A7F6" w14:textId="77777777" w:rsidR="00DF73B1" w:rsidRPr="00297A52" w:rsidRDefault="00DF73B1" w:rsidP="00297A52">
            <w:pPr>
              <w:spacing w:line="360" w:lineRule="auto"/>
              <w:jc w:val="center"/>
              <w:rPr>
                <w:sz w:val="24"/>
                <w:szCs w:val="24"/>
                <w:lang w:val="es-ES_tradnl"/>
              </w:rPr>
            </w:pPr>
          </w:p>
          <w:p w14:paraId="3D623374" w14:textId="77777777" w:rsidR="00DF73B1" w:rsidRPr="00297A52" w:rsidRDefault="00DF73B1" w:rsidP="00297A52">
            <w:pPr>
              <w:spacing w:line="360" w:lineRule="auto"/>
              <w:jc w:val="center"/>
              <w:rPr>
                <w:sz w:val="24"/>
                <w:szCs w:val="24"/>
                <w:lang w:val="es-ES_tradnl"/>
              </w:rPr>
            </w:pPr>
            <w:r w:rsidRPr="00297A52">
              <w:rPr>
                <w:sz w:val="24"/>
                <w:szCs w:val="24"/>
                <w:lang w:val="es-ES_tradnl"/>
              </w:rPr>
              <w:t>61%</w:t>
            </w:r>
          </w:p>
          <w:p w14:paraId="7B5CAD9F" w14:textId="77777777" w:rsidR="00DF73B1" w:rsidRPr="00297A52" w:rsidRDefault="00DF73B1" w:rsidP="00297A52">
            <w:pPr>
              <w:spacing w:line="360" w:lineRule="auto"/>
              <w:jc w:val="center"/>
              <w:rPr>
                <w:sz w:val="24"/>
                <w:szCs w:val="24"/>
                <w:lang w:val="es-ES_tradnl"/>
              </w:rPr>
            </w:pPr>
            <w:r w:rsidRPr="00297A52">
              <w:rPr>
                <w:sz w:val="24"/>
                <w:szCs w:val="24"/>
                <w:lang w:val="es-ES_tradnl"/>
              </w:rPr>
              <w:t>(1996)</w:t>
            </w:r>
          </w:p>
        </w:tc>
      </w:tr>
      <w:tr w:rsidR="00DF73B1" w:rsidRPr="00297A52" w14:paraId="419AC3E5" w14:textId="77777777">
        <w:trPr>
          <w:trHeight w:val="416"/>
        </w:trPr>
        <w:tc>
          <w:tcPr>
            <w:tcW w:w="1200" w:type="dxa"/>
          </w:tcPr>
          <w:p w14:paraId="497E102F" w14:textId="77777777" w:rsidR="00DF73B1" w:rsidRPr="00297A52" w:rsidRDefault="00DF73B1" w:rsidP="00297A52">
            <w:pPr>
              <w:spacing w:line="360" w:lineRule="auto"/>
              <w:jc w:val="center"/>
              <w:rPr>
                <w:sz w:val="24"/>
                <w:szCs w:val="24"/>
                <w:lang w:val="es-ES_tradnl"/>
              </w:rPr>
            </w:pPr>
          </w:p>
          <w:p w14:paraId="043FB897" w14:textId="77777777" w:rsidR="00DF73B1" w:rsidRPr="00297A52" w:rsidRDefault="00DF73B1" w:rsidP="00297A52">
            <w:pPr>
              <w:spacing w:line="360" w:lineRule="auto"/>
              <w:jc w:val="center"/>
              <w:rPr>
                <w:sz w:val="24"/>
                <w:szCs w:val="24"/>
                <w:lang w:val="es-ES_tradnl"/>
              </w:rPr>
            </w:pPr>
            <w:r w:rsidRPr="00297A52">
              <w:rPr>
                <w:sz w:val="24"/>
                <w:szCs w:val="24"/>
                <w:lang w:val="es-ES_tradnl"/>
              </w:rPr>
              <w:t>2002-2008</w:t>
            </w:r>
          </w:p>
          <w:p w14:paraId="1B992058" w14:textId="77777777" w:rsidR="00DF73B1" w:rsidRPr="00297A52" w:rsidRDefault="00DF73B1" w:rsidP="00297A52">
            <w:pPr>
              <w:spacing w:line="360" w:lineRule="auto"/>
              <w:jc w:val="center"/>
              <w:rPr>
                <w:sz w:val="24"/>
                <w:szCs w:val="24"/>
                <w:lang w:val="es-ES_tradnl"/>
              </w:rPr>
            </w:pPr>
          </w:p>
        </w:tc>
        <w:tc>
          <w:tcPr>
            <w:tcW w:w="4020" w:type="dxa"/>
          </w:tcPr>
          <w:p w14:paraId="5C7A9F3E" w14:textId="77777777" w:rsidR="00DF73B1" w:rsidRPr="00297A52" w:rsidRDefault="00DF73B1" w:rsidP="00297A52">
            <w:pPr>
              <w:spacing w:line="360" w:lineRule="auto"/>
              <w:jc w:val="center"/>
              <w:rPr>
                <w:sz w:val="24"/>
                <w:szCs w:val="24"/>
                <w:lang w:val="es-MX"/>
              </w:rPr>
            </w:pPr>
          </w:p>
          <w:p w14:paraId="673BEE1B" w14:textId="77777777" w:rsidR="00DF73B1" w:rsidRPr="00297A52" w:rsidRDefault="00DF73B1" w:rsidP="00297A52">
            <w:pPr>
              <w:spacing w:line="360" w:lineRule="auto"/>
              <w:jc w:val="center"/>
              <w:rPr>
                <w:sz w:val="24"/>
                <w:szCs w:val="24"/>
                <w:lang w:val="es-MX"/>
              </w:rPr>
            </w:pPr>
            <w:r w:rsidRPr="00297A52">
              <w:rPr>
                <w:sz w:val="24"/>
                <w:szCs w:val="24"/>
                <w:lang w:val="es-MX"/>
              </w:rPr>
              <w:t>Aparecen recursos no coparticipados distintos a la inflación y la deuda</w:t>
            </w:r>
          </w:p>
          <w:p w14:paraId="012A60D2" w14:textId="77777777" w:rsidR="00DF73B1" w:rsidRPr="00297A52" w:rsidRDefault="00DF73B1" w:rsidP="00297A52">
            <w:pPr>
              <w:spacing w:line="360" w:lineRule="auto"/>
              <w:jc w:val="center"/>
              <w:rPr>
                <w:sz w:val="24"/>
                <w:szCs w:val="24"/>
                <w:lang w:val="es-MX"/>
              </w:rPr>
            </w:pPr>
          </w:p>
        </w:tc>
        <w:tc>
          <w:tcPr>
            <w:tcW w:w="2340" w:type="dxa"/>
          </w:tcPr>
          <w:p w14:paraId="51D1180D" w14:textId="77777777" w:rsidR="00DF73B1" w:rsidRPr="00297A52" w:rsidRDefault="00DF73B1" w:rsidP="00297A52">
            <w:pPr>
              <w:spacing w:line="360" w:lineRule="auto"/>
              <w:jc w:val="center"/>
              <w:rPr>
                <w:sz w:val="24"/>
                <w:szCs w:val="24"/>
                <w:lang w:val="es-ES_tradnl"/>
              </w:rPr>
            </w:pPr>
          </w:p>
          <w:p w14:paraId="5D949AAA" w14:textId="77777777" w:rsidR="00DF73B1" w:rsidRPr="00297A52" w:rsidRDefault="00DF73B1" w:rsidP="00297A52">
            <w:pPr>
              <w:spacing w:line="360" w:lineRule="auto"/>
              <w:jc w:val="center"/>
              <w:rPr>
                <w:sz w:val="24"/>
                <w:szCs w:val="24"/>
                <w:lang w:val="es-ES_tradnl"/>
              </w:rPr>
            </w:pPr>
            <w:r w:rsidRPr="00297A52">
              <w:rPr>
                <w:sz w:val="24"/>
                <w:szCs w:val="24"/>
                <w:lang w:val="es-ES_tradnl"/>
              </w:rPr>
              <w:t>58%</w:t>
            </w:r>
          </w:p>
          <w:p w14:paraId="28FE5F4D" w14:textId="77777777" w:rsidR="00DF73B1" w:rsidRPr="00297A52" w:rsidRDefault="00DF73B1" w:rsidP="00297A52">
            <w:pPr>
              <w:spacing w:line="360" w:lineRule="auto"/>
              <w:jc w:val="center"/>
              <w:rPr>
                <w:sz w:val="24"/>
                <w:szCs w:val="24"/>
                <w:lang w:val="es-ES_tradnl"/>
              </w:rPr>
            </w:pPr>
            <w:r w:rsidRPr="00297A52">
              <w:rPr>
                <w:sz w:val="24"/>
                <w:szCs w:val="24"/>
                <w:lang w:val="es-ES_tradnl"/>
              </w:rPr>
              <w:t>(2006)</w:t>
            </w:r>
          </w:p>
        </w:tc>
      </w:tr>
      <w:tr w:rsidR="00DF73B1" w:rsidRPr="00CE6C36" w14:paraId="3DDE9523" w14:textId="77777777">
        <w:trPr>
          <w:trHeight w:val="416"/>
        </w:trPr>
        <w:tc>
          <w:tcPr>
            <w:tcW w:w="7560" w:type="dxa"/>
            <w:gridSpan w:val="3"/>
          </w:tcPr>
          <w:p w14:paraId="695A077F" w14:textId="77777777" w:rsidR="00DF73B1" w:rsidRPr="00297A52" w:rsidRDefault="00DF73B1" w:rsidP="00297A52">
            <w:pPr>
              <w:spacing w:line="360" w:lineRule="auto"/>
              <w:rPr>
                <w:sz w:val="24"/>
                <w:szCs w:val="24"/>
                <w:lang w:val="es-ES_tradnl"/>
              </w:rPr>
            </w:pPr>
            <w:r w:rsidRPr="00297A52">
              <w:rPr>
                <w:sz w:val="24"/>
                <w:szCs w:val="24"/>
                <w:u w:val="single"/>
                <w:lang w:val="es-ES_tradnl"/>
              </w:rPr>
              <w:t>Fuente</w:t>
            </w:r>
            <w:r w:rsidRPr="00297A52">
              <w:rPr>
                <w:sz w:val="24"/>
                <w:szCs w:val="24"/>
                <w:lang w:val="es-ES_tradnl"/>
              </w:rPr>
              <w:t xml:space="preserve">: FIEL (1993, Apéndice I), CEA (2000) para el año 1996 y </w:t>
            </w:r>
            <w:r w:rsidRPr="00297A52">
              <w:rPr>
                <w:sz w:val="24"/>
                <w:szCs w:val="24"/>
                <w:lang w:val="af-ZA"/>
              </w:rPr>
              <w:t>Nadín</w:t>
            </w:r>
            <w:r w:rsidRPr="00297A52">
              <w:rPr>
                <w:sz w:val="24"/>
                <w:szCs w:val="24"/>
                <w:lang w:val="es-ES_tradnl"/>
              </w:rPr>
              <w:t xml:space="preserve"> </w:t>
            </w:r>
            <w:r w:rsidRPr="00297A52">
              <w:rPr>
                <w:sz w:val="24"/>
                <w:szCs w:val="24"/>
                <w:lang w:val="af-ZA"/>
              </w:rPr>
              <w:t>Argañaraz</w:t>
            </w:r>
            <w:r w:rsidRPr="00297A52">
              <w:rPr>
                <w:sz w:val="24"/>
                <w:szCs w:val="24"/>
                <w:lang w:val="es-ES_tradnl"/>
              </w:rPr>
              <w:t xml:space="preserve"> (</w:t>
            </w:r>
            <w:r w:rsidRPr="00297A52">
              <w:rPr>
                <w:sz w:val="24"/>
                <w:szCs w:val="24"/>
                <w:lang w:val="af-ZA"/>
              </w:rPr>
              <w:t>IARAF) para el año</w:t>
            </w:r>
            <w:r w:rsidRPr="00297A52">
              <w:rPr>
                <w:sz w:val="24"/>
                <w:szCs w:val="24"/>
                <w:lang w:val="es-ES_tradnl"/>
              </w:rPr>
              <w:t xml:space="preserve"> 2006.</w:t>
            </w:r>
          </w:p>
        </w:tc>
      </w:tr>
    </w:tbl>
    <w:p w14:paraId="1F0C3F2D" w14:textId="77777777" w:rsidR="00DF73B1" w:rsidRPr="00297A52" w:rsidRDefault="00DF73B1" w:rsidP="00297A52">
      <w:pPr>
        <w:pStyle w:val="Sangradetextonormal"/>
        <w:spacing w:line="360" w:lineRule="auto"/>
        <w:rPr>
          <w:szCs w:val="24"/>
          <w:u w:val="single"/>
          <w:lang w:val="es-ES_tradnl"/>
        </w:rPr>
      </w:pPr>
    </w:p>
    <w:p w14:paraId="33E0648F" w14:textId="77777777" w:rsidR="00DF73B1" w:rsidRPr="00297A52" w:rsidRDefault="00DF73B1" w:rsidP="00297A52">
      <w:pPr>
        <w:pStyle w:val="Sangradetextonormal"/>
        <w:spacing w:line="360" w:lineRule="auto"/>
        <w:ind w:firstLine="0"/>
        <w:rPr>
          <w:szCs w:val="24"/>
        </w:rPr>
      </w:pPr>
    </w:p>
    <w:p w14:paraId="40A252B3" w14:textId="77777777" w:rsidR="006247F7" w:rsidRPr="00297A52" w:rsidRDefault="006247F7" w:rsidP="00297A52">
      <w:pPr>
        <w:pStyle w:val="Sangradetextonormal"/>
        <w:spacing w:line="360" w:lineRule="auto"/>
        <w:ind w:firstLine="0"/>
        <w:rPr>
          <w:szCs w:val="24"/>
        </w:rPr>
      </w:pPr>
    </w:p>
    <w:p w14:paraId="1CE01992" w14:textId="1C57AD56" w:rsidR="006247F7" w:rsidRPr="000B3D5F" w:rsidRDefault="000B3D5F" w:rsidP="000B3D5F">
      <w:pPr>
        <w:rPr>
          <w:sz w:val="24"/>
          <w:szCs w:val="24"/>
          <w:lang w:val="es-MX"/>
        </w:rPr>
      </w:pPr>
      <w:r w:rsidRPr="0072368A">
        <w:rPr>
          <w:szCs w:val="24"/>
          <w:lang w:val="es-MX"/>
        </w:rPr>
        <w:br w:type="page"/>
      </w:r>
      <w:r w:rsidR="00DF73B1" w:rsidRPr="006A5148">
        <w:rPr>
          <w:sz w:val="24"/>
          <w:szCs w:val="24"/>
          <w:lang w:val="es-ES"/>
        </w:rPr>
        <w:lastRenderedPageBreak/>
        <w:t>Cuadro</w:t>
      </w:r>
      <w:r w:rsidR="00DF73B1" w:rsidRPr="00297A52">
        <w:rPr>
          <w:sz w:val="24"/>
          <w:szCs w:val="24"/>
        </w:rPr>
        <w:t xml:space="preserve"> </w:t>
      </w:r>
      <w:r w:rsidR="00D30079" w:rsidRPr="00297A52">
        <w:rPr>
          <w:sz w:val="24"/>
          <w:szCs w:val="24"/>
        </w:rPr>
        <w:t xml:space="preserve">Nº </w:t>
      </w:r>
      <w:r w:rsidR="00DF73B1" w:rsidRPr="00297A52">
        <w:rPr>
          <w:sz w:val="24"/>
          <w:szCs w:val="24"/>
        </w:rPr>
        <w:t>3</w:t>
      </w:r>
    </w:p>
    <w:p w14:paraId="5C41A6AB" w14:textId="77777777" w:rsidR="00DF73B1" w:rsidRPr="00297A52" w:rsidRDefault="00DF73B1" w:rsidP="00297A52">
      <w:pPr>
        <w:pStyle w:val="Ttulo2"/>
        <w:spacing w:line="360" w:lineRule="auto"/>
        <w:ind w:firstLine="0"/>
        <w:rPr>
          <w:szCs w:val="24"/>
        </w:rPr>
      </w:pPr>
      <w:r w:rsidRPr="00297A52">
        <w:rPr>
          <w:szCs w:val="24"/>
        </w:rPr>
        <w:t>El Laberinto Fiscal</w:t>
      </w:r>
    </w:p>
    <w:p w14:paraId="5DA3C38A" w14:textId="77777777" w:rsidR="00DF73B1" w:rsidRPr="00297A52" w:rsidRDefault="00DF73B1" w:rsidP="00297A52">
      <w:pPr>
        <w:spacing w:line="360" w:lineRule="auto"/>
        <w:jc w:val="center"/>
        <w:rPr>
          <w:b/>
          <w:sz w:val="24"/>
          <w:szCs w:val="24"/>
          <w:lang w:val="es-ES"/>
        </w:rPr>
      </w:pPr>
    </w:p>
    <w:p w14:paraId="6E9161AB" w14:textId="77777777" w:rsidR="00DF73B1" w:rsidRPr="00297A52" w:rsidRDefault="00DF73B1" w:rsidP="00297A52">
      <w:pPr>
        <w:spacing w:line="360" w:lineRule="auto"/>
        <w:rPr>
          <w:sz w:val="24"/>
          <w:szCs w:val="24"/>
        </w:rPr>
      </w:pPr>
      <w:r w:rsidRPr="00297A52">
        <w:rPr>
          <w:sz w:val="24"/>
          <w:szCs w:val="24"/>
        </w:rPr>
        <w:object w:dxaOrig="8627" w:dyaOrig="9708" w14:anchorId="51223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496.8pt" o:ole="" fillcolor="window">
            <v:imagedata r:id="rId8" o:title=""/>
          </v:shape>
          <o:OLEObject Type="Embed" ProgID="Word.Picture.8" ShapeID="_x0000_i1025" DrawAspect="Content" ObjectID="_1666538921" r:id="rId9"/>
        </w:object>
      </w:r>
    </w:p>
    <w:p w14:paraId="5A5CC379" w14:textId="77777777" w:rsidR="00DF73B1" w:rsidRPr="00297A52" w:rsidRDefault="00DF73B1" w:rsidP="00297A52">
      <w:pPr>
        <w:pStyle w:val="Sangradetextonormal"/>
        <w:spacing w:line="360" w:lineRule="auto"/>
        <w:ind w:firstLine="0"/>
        <w:rPr>
          <w:szCs w:val="24"/>
        </w:rPr>
      </w:pPr>
      <w:r w:rsidRPr="00297A52">
        <w:rPr>
          <w:szCs w:val="24"/>
          <w:u w:val="single"/>
        </w:rPr>
        <w:t>Aclaración</w:t>
      </w:r>
      <w:r w:rsidRPr="00297A52">
        <w:rPr>
          <w:szCs w:val="24"/>
        </w:rPr>
        <w:t xml:space="preserve">: Hasta fines de 1998, el 21% del impuesto a los combustibles líquidos (con algunas excepciones) fue asignado al Sistema Nacional de Seguridad Social, y el resto en las proporciones mostradas. El cuadro es una reproducción de Schwartz y </w:t>
      </w:r>
      <w:r w:rsidRPr="00297A52">
        <w:rPr>
          <w:szCs w:val="24"/>
          <w:lang w:val="af-ZA"/>
        </w:rPr>
        <w:t>Liuksila</w:t>
      </w:r>
      <w:r w:rsidRPr="00297A52">
        <w:rPr>
          <w:szCs w:val="24"/>
        </w:rPr>
        <w:t xml:space="preserve"> (1997).</w:t>
      </w:r>
    </w:p>
    <w:p w14:paraId="33C3D798" w14:textId="77777777" w:rsidR="00DF73B1" w:rsidRPr="00297A52" w:rsidRDefault="00DF73B1" w:rsidP="00297A52">
      <w:pPr>
        <w:pStyle w:val="Listaconvietas"/>
        <w:numPr>
          <w:ilvl w:val="0"/>
          <w:numId w:val="0"/>
        </w:numPr>
        <w:spacing w:line="360" w:lineRule="auto"/>
        <w:rPr>
          <w:u w:val="single"/>
        </w:rPr>
      </w:pPr>
    </w:p>
    <w:p w14:paraId="7B32A580" w14:textId="77777777" w:rsidR="00DF73B1" w:rsidRPr="000B3D5F" w:rsidRDefault="00DF73B1" w:rsidP="00297A52">
      <w:pPr>
        <w:pStyle w:val="Listaconvietas"/>
        <w:numPr>
          <w:ilvl w:val="0"/>
          <w:numId w:val="0"/>
        </w:numPr>
        <w:spacing w:line="360" w:lineRule="auto"/>
        <w:rPr>
          <w:b/>
          <w:bCs/>
        </w:rPr>
      </w:pPr>
      <w:r w:rsidRPr="00297A52">
        <w:rPr>
          <w:u w:val="single"/>
        </w:rPr>
        <w:br w:type="page"/>
      </w:r>
      <w:r w:rsidRPr="000B3D5F">
        <w:rPr>
          <w:b/>
          <w:bCs/>
        </w:rPr>
        <w:lastRenderedPageBreak/>
        <w:t xml:space="preserve">II. </w:t>
      </w:r>
      <w:r w:rsidRPr="001A5299">
        <w:rPr>
          <w:b/>
          <w:bCs/>
        </w:rPr>
        <w:t>El problema económico</w:t>
      </w:r>
    </w:p>
    <w:p w14:paraId="6104240C" w14:textId="77777777" w:rsidR="00DF73B1" w:rsidRPr="00297A52" w:rsidRDefault="00DF73B1" w:rsidP="00297A52">
      <w:pPr>
        <w:pStyle w:val="Listaconvietas"/>
        <w:numPr>
          <w:ilvl w:val="0"/>
          <w:numId w:val="0"/>
        </w:numPr>
        <w:spacing w:line="360" w:lineRule="auto"/>
      </w:pPr>
    </w:p>
    <w:p w14:paraId="76E7C6A2" w14:textId="1DE3D798" w:rsidR="00DF73B1" w:rsidRDefault="00DF73B1" w:rsidP="00297A52">
      <w:pPr>
        <w:pStyle w:val="Sangradetextonormal"/>
        <w:spacing w:line="360" w:lineRule="auto"/>
        <w:ind w:firstLine="0"/>
        <w:rPr>
          <w:szCs w:val="24"/>
        </w:rPr>
      </w:pPr>
      <w:r w:rsidRPr="00297A52">
        <w:rPr>
          <w:szCs w:val="24"/>
        </w:rPr>
        <w:t xml:space="preserve">A fines de la década de 1990, Argentina registraba el mayor grado de descentralización del gasto público en América Latina. El 50% del gasto consolidado era responsabilidad de provincias y municipios. Pero apenas el 20% de los recursos era recaudado por provincias y municipios. Esta brecha de financiamiento, </w:t>
      </w:r>
      <w:r w:rsidR="00A84866" w:rsidRPr="00297A52">
        <w:rPr>
          <w:szCs w:val="24"/>
        </w:rPr>
        <w:t>cubierta con</w:t>
      </w:r>
      <w:r w:rsidRPr="00297A52">
        <w:rPr>
          <w:szCs w:val="24"/>
        </w:rPr>
        <w:t xml:space="preserve"> transferencias de la Nación, recibe el nombre de desbalance vertical. En presencia de desbalance vertical no se cumple el principio de correspondencia fiscal y puede esperarse un gasto público subnacional </w:t>
      </w:r>
      <w:proofErr w:type="spellStart"/>
      <w:r w:rsidRPr="00297A52">
        <w:rPr>
          <w:szCs w:val="24"/>
        </w:rPr>
        <w:t>sobre-expandido</w:t>
      </w:r>
      <w:proofErr w:type="spellEnd"/>
      <w:r w:rsidRPr="00297A52">
        <w:rPr>
          <w:szCs w:val="24"/>
        </w:rPr>
        <w:t>.</w:t>
      </w:r>
    </w:p>
    <w:p w14:paraId="5E1BB2C4" w14:textId="77777777" w:rsidR="000B3D5F" w:rsidRDefault="000B3D5F" w:rsidP="000B3D5F">
      <w:pPr>
        <w:pStyle w:val="Sangradetextonormal"/>
        <w:spacing w:line="360" w:lineRule="auto"/>
        <w:ind w:firstLine="0"/>
        <w:rPr>
          <w:szCs w:val="24"/>
        </w:rPr>
      </w:pPr>
    </w:p>
    <w:p w14:paraId="34BC32BB" w14:textId="54BC7D31" w:rsidR="00DF73B1" w:rsidRPr="00297A52" w:rsidRDefault="00DF73B1" w:rsidP="000B3D5F">
      <w:pPr>
        <w:pStyle w:val="Sangradetextonormal"/>
        <w:spacing w:line="360" w:lineRule="auto"/>
        <w:ind w:firstLine="0"/>
        <w:rPr>
          <w:szCs w:val="24"/>
        </w:rPr>
      </w:pPr>
      <w:r w:rsidRPr="00297A52">
        <w:rPr>
          <w:szCs w:val="24"/>
        </w:rPr>
        <w:t xml:space="preserve">El régimen de coparticipación federal de impuestos y los regímenes paralelos adolecen del problema clásico del fondo común, que es la falta de una restricción presupuestaria dura a nivel subnacional. El fondo común </w:t>
      </w:r>
      <w:r w:rsidR="004D21FA" w:rsidRPr="00297A52">
        <w:rPr>
          <w:szCs w:val="24"/>
        </w:rPr>
        <w:t>crea</w:t>
      </w:r>
      <w:r w:rsidRPr="00297A52">
        <w:rPr>
          <w:szCs w:val="24"/>
        </w:rPr>
        <w:t xml:space="preserve"> una tendencia hacia el </w:t>
      </w:r>
      <w:r w:rsidR="004D21FA" w:rsidRPr="00297A52">
        <w:rPr>
          <w:szCs w:val="24"/>
        </w:rPr>
        <w:t>aumento</w:t>
      </w:r>
      <w:r w:rsidRPr="00297A52">
        <w:rPr>
          <w:szCs w:val="24"/>
        </w:rPr>
        <w:t xml:space="preserve"> del gasto público y quizá otra hacia la reducción de la presión tributaria propia. Sobre la expansión del gasto, cabe referir su evolución histórica en las provincias pobres, las más beneficiadas por las transferencias nacionales: el gasto público per cápita en estas provincias aumentó de menos de 50% del gasto público per cápita en las provincias ricas en 1916 a casi 150% en 2006. En cuanto al impacto del fondo común sobre las recaudaciones propias, la evidencia empírica señala que a mayores transferencias nacionales, menores recaudaciones propias, y viceversa. La Rioja, Formosa y Catamarca reciben grandes transferencias nacionales y sus recursos propios representan apenas 6% ó 7% del gasto provincial; en las antípodas, la provincia de Buenos Aires y la ciudad de Buenos Aires reciben pequeñas transferencias y sus recursos propios llegan a 51% y 88% del gasto provincial, respectivamente. Además del incremento del gasto público provincial y del referido laberinto fiscal, el fondo común tiene otros efectos indeseados:</w:t>
      </w:r>
    </w:p>
    <w:p w14:paraId="32F30FC5" w14:textId="77777777" w:rsidR="00DF73B1" w:rsidRPr="00297A52" w:rsidRDefault="00DF73B1" w:rsidP="00297A52">
      <w:pPr>
        <w:pStyle w:val="Sangradetextonormal"/>
        <w:spacing w:line="360" w:lineRule="auto"/>
        <w:ind w:firstLine="0"/>
        <w:rPr>
          <w:szCs w:val="24"/>
          <w:u w:val="single"/>
        </w:rPr>
      </w:pPr>
    </w:p>
    <w:p w14:paraId="31B0B842" w14:textId="77777777" w:rsidR="00DF73B1" w:rsidRPr="00297A52" w:rsidRDefault="00DF73B1" w:rsidP="00297A52">
      <w:pPr>
        <w:pStyle w:val="Sangradetextonormal"/>
        <w:spacing w:line="360" w:lineRule="auto"/>
        <w:ind w:firstLine="0"/>
        <w:rPr>
          <w:szCs w:val="24"/>
        </w:rPr>
      </w:pPr>
      <w:r w:rsidRPr="00297A52">
        <w:rPr>
          <w:szCs w:val="24"/>
          <w:u w:val="single"/>
        </w:rPr>
        <w:t>Reduce el cumplimiento impositivo</w:t>
      </w:r>
      <w:r w:rsidRPr="00297A52">
        <w:rPr>
          <w:szCs w:val="24"/>
        </w:rPr>
        <w:t xml:space="preserve">. La evasión impositiva es elevada en Argentina. En el IVA llega a 45% de la base imponible potencial, mientras en países como Chile y Uruguay llega a 20% y a 30%, en cada caso. Desde luego, las causas de la evasión son variadas y complejas, pero el régimen de coparticipación no está exento de culpa. Por ejemplo, ¿qué incentivo tiene el gobernador de San Juan para colaborar con los inspectores de la AFIP en </w:t>
      </w:r>
      <w:r w:rsidRPr="00297A52">
        <w:rPr>
          <w:szCs w:val="24"/>
        </w:rPr>
        <w:lastRenderedPageBreak/>
        <w:t>la detección de evasores, cuando por cada $100 que se recauden gracias a la movilización de su policía y la clausura de negocios locales la provincia recibiría apenas $1.9? (Esta es la cuenta que hace el gobernador: $100 multiplicado por 0.57, que es la participación primaria de las provincias, multiplicado por 0.0338, que es la participación secundaria de San Juan, es igual a $1.9.)</w:t>
      </w:r>
    </w:p>
    <w:p w14:paraId="63997E96" w14:textId="77777777" w:rsidR="00DF73B1" w:rsidRPr="00297A52" w:rsidRDefault="00DF73B1" w:rsidP="00297A52">
      <w:pPr>
        <w:pStyle w:val="Sangradetextonormal"/>
        <w:spacing w:line="360" w:lineRule="auto"/>
        <w:ind w:firstLine="0"/>
        <w:rPr>
          <w:szCs w:val="24"/>
          <w:u w:val="single"/>
        </w:rPr>
      </w:pPr>
    </w:p>
    <w:p w14:paraId="129A2CB1" w14:textId="77777777" w:rsidR="00DF73B1" w:rsidRPr="00297A52" w:rsidRDefault="00DF73B1" w:rsidP="00297A52">
      <w:pPr>
        <w:pStyle w:val="Sangradetextonormal"/>
        <w:spacing w:line="360" w:lineRule="auto"/>
        <w:ind w:firstLine="0"/>
        <w:rPr>
          <w:szCs w:val="24"/>
        </w:rPr>
      </w:pPr>
      <w:r w:rsidRPr="00297A52">
        <w:rPr>
          <w:szCs w:val="24"/>
          <w:u w:val="single"/>
        </w:rPr>
        <w:t>Crea presiones de salvataje financiero sobre la Nación</w:t>
      </w:r>
      <w:r w:rsidRPr="00297A52">
        <w:rPr>
          <w:szCs w:val="24"/>
        </w:rPr>
        <w:t>. Cuando el gasto provincial se financia en tan alta proporción con recursos nacionales, la Nación sufre una consecuencia sutil y recurrente. Para las provincias el gobierno nacional se transforma en el responsable último de las caídas que experimentan las transferencias. Lo curioso es que históricamente la Nación ha asumido esta responsabilidad y ha convalidado los déficits provinciales. Esta tradición sesga las finanzas provinciales hacia la bancarrota.</w:t>
      </w:r>
    </w:p>
    <w:p w14:paraId="3FB140DE" w14:textId="77777777" w:rsidR="00DF73B1" w:rsidRPr="00297A52" w:rsidRDefault="00DF73B1" w:rsidP="00297A52">
      <w:pPr>
        <w:pStyle w:val="Sangradetextonormal"/>
        <w:spacing w:line="360" w:lineRule="auto"/>
        <w:ind w:firstLine="0"/>
        <w:rPr>
          <w:szCs w:val="24"/>
          <w:u w:val="single"/>
        </w:rPr>
      </w:pPr>
    </w:p>
    <w:p w14:paraId="0E1251D4" w14:textId="77777777" w:rsidR="00DF73B1" w:rsidRPr="00297A52" w:rsidRDefault="00DF73B1" w:rsidP="00297A52">
      <w:pPr>
        <w:pStyle w:val="Sangradetextonormal"/>
        <w:spacing w:line="360" w:lineRule="auto"/>
        <w:ind w:firstLine="0"/>
        <w:rPr>
          <w:szCs w:val="24"/>
        </w:rPr>
      </w:pPr>
      <w:r w:rsidRPr="00297A52">
        <w:rPr>
          <w:szCs w:val="24"/>
          <w:u w:val="single"/>
        </w:rPr>
        <w:t>Premia el lobby de los gobernadores</w:t>
      </w:r>
      <w:r w:rsidRPr="00297A52">
        <w:rPr>
          <w:szCs w:val="24"/>
        </w:rPr>
        <w:t>. El fondo común en sí mismo constituye un poderoso incentivo para que los gobernadores inviertan mucho ingenio, tiempo y esfuerzo en Buenos Aires, en el intento de modificar las reglas de juego a su favor. Un ejemplo en este sentido son los regímenes de promoción industrial basados en exenciones del IVA y el impuesto a las ganancias (ambos tributos están sujetos a coparticipación federal). De cada $100 que le cuesta al país la exención de IVA o Ganancias que induce a una empresa a radicarse en la provincia promovida, una provincia como San Juan pierde $1.9 y gana la radicación industrial, y con ella una variedad de beneficios sobre el empleo, la actividad económica y las rentas generales de la jurisdicción. El balance es definidamente favorable a la provincia y el lobby en Buenos Aires, inevitable.</w:t>
      </w:r>
    </w:p>
    <w:p w14:paraId="6FD9E8EF" w14:textId="77777777" w:rsidR="00DF73B1" w:rsidRPr="00297A52" w:rsidRDefault="00DF73B1" w:rsidP="00297A52">
      <w:pPr>
        <w:pStyle w:val="Listaconvietas"/>
        <w:numPr>
          <w:ilvl w:val="0"/>
          <w:numId w:val="0"/>
        </w:numPr>
        <w:spacing w:line="360" w:lineRule="auto"/>
      </w:pPr>
    </w:p>
    <w:p w14:paraId="15CA1E80" w14:textId="77777777" w:rsidR="00DF73B1" w:rsidRPr="00B06CE3" w:rsidRDefault="00DF73B1" w:rsidP="00297A52">
      <w:pPr>
        <w:pStyle w:val="Listaconvietas"/>
        <w:numPr>
          <w:ilvl w:val="0"/>
          <w:numId w:val="0"/>
        </w:numPr>
        <w:spacing w:line="360" w:lineRule="auto"/>
        <w:rPr>
          <w:b/>
          <w:bCs/>
          <w:iCs/>
        </w:rPr>
      </w:pPr>
      <w:r w:rsidRPr="00B06CE3">
        <w:rPr>
          <w:b/>
          <w:bCs/>
          <w:iCs/>
        </w:rPr>
        <w:t>La ilusión fiscal, el Leviatán y la expansión ineficiente del gasto provincial</w:t>
      </w:r>
    </w:p>
    <w:p w14:paraId="0600C9C7" w14:textId="77777777" w:rsidR="00DF73B1" w:rsidRPr="00297A52" w:rsidRDefault="00DF73B1" w:rsidP="00297A52">
      <w:pPr>
        <w:pStyle w:val="Listaconvietas"/>
        <w:numPr>
          <w:ilvl w:val="0"/>
          <w:numId w:val="0"/>
        </w:numPr>
        <w:spacing w:line="360" w:lineRule="auto"/>
      </w:pPr>
    </w:p>
    <w:p w14:paraId="67499063" w14:textId="7A729B1F" w:rsidR="00DF73B1" w:rsidRDefault="00DF73B1" w:rsidP="00297A52">
      <w:pPr>
        <w:pStyle w:val="Listaconvietas"/>
        <w:numPr>
          <w:ilvl w:val="0"/>
          <w:numId w:val="0"/>
        </w:numPr>
        <w:spacing w:line="360" w:lineRule="auto"/>
        <w:jc w:val="both"/>
      </w:pPr>
      <w:r w:rsidRPr="00297A52">
        <w:t>En un libro pionero dedicado al federalismo fiscal argentino, Porto (1990, 67-71) examinó el problema de asignación de recursos propio de un fondo común. Suponga que un votante-contribuyente deriva utilidad del consumo de un bien privado y de uno público, conforme a la siguiente función de utilidad:</w:t>
      </w:r>
    </w:p>
    <w:p w14:paraId="19B5F31E" w14:textId="743C8D4D" w:rsidR="00757904" w:rsidRDefault="00757904" w:rsidP="00297A52">
      <w:pPr>
        <w:pStyle w:val="Listaconvietas"/>
        <w:numPr>
          <w:ilvl w:val="0"/>
          <w:numId w:val="0"/>
        </w:numPr>
        <w:spacing w:line="360" w:lineRule="auto"/>
        <w:jc w:val="both"/>
      </w:pPr>
    </w:p>
    <w:p w14:paraId="46938819" w14:textId="77777777" w:rsidR="00757904" w:rsidRPr="00D8653E" w:rsidRDefault="00757904" w:rsidP="00757904">
      <w:pPr>
        <w:pStyle w:val="Listaconvietas"/>
        <w:numPr>
          <w:ilvl w:val="0"/>
          <w:numId w:val="0"/>
        </w:numPr>
        <w:spacing w:line="360" w:lineRule="auto"/>
        <w:jc w:val="both"/>
      </w:pPr>
      <w:r w:rsidRPr="00D8653E">
        <w:lastRenderedPageBreak/>
        <w:t xml:space="preserve">1) </w:t>
      </w:r>
      <w:r w:rsidRPr="00D8653E">
        <w:rPr>
          <w:position w:val="-10"/>
        </w:rPr>
        <w:object w:dxaOrig="1200" w:dyaOrig="320" w14:anchorId="69837E90">
          <v:shape id="_x0000_i1026" type="#_x0000_t75" style="width:60pt;height:15.6pt" o:ole="">
            <v:imagedata r:id="rId10" o:title=""/>
          </v:shape>
          <o:OLEObject Type="Embed" ProgID="Equation.3" ShapeID="_x0000_i1026" DrawAspect="Content" ObjectID="_1666538922" r:id="rId11"/>
        </w:object>
      </w:r>
    </w:p>
    <w:p w14:paraId="24D908A4" w14:textId="77777777" w:rsidR="00757904" w:rsidRPr="00D8653E" w:rsidRDefault="00757904" w:rsidP="00757904">
      <w:pPr>
        <w:pStyle w:val="Listaconvietas"/>
        <w:numPr>
          <w:ilvl w:val="0"/>
          <w:numId w:val="0"/>
        </w:numPr>
        <w:spacing w:line="360" w:lineRule="auto"/>
        <w:jc w:val="both"/>
      </w:pPr>
    </w:p>
    <w:p w14:paraId="352D4216" w14:textId="77777777" w:rsidR="00757904" w:rsidRPr="00D8653E" w:rsidRDefault="00757904" w:rsidP="00757904">
      <w:pPr>
        <w:pStyle w:val="Listaconvietas"/>
        <w:numPr>
          <w:ilvl w:val="0"/>
          <w:numId w:val="0"/>
        </w:numPr>
        <w:spacing w:line="360" w:lineRule="auto"/>
        <w:jc w:val="both"/>
      </w:pPr>
      <w:r w:rsidRPr="00D8653E">
        <w:t xml:space="preserve">donde </w:t>
      </w:r>
      <w:r w:rsidRPr="00D8653E">
        <w:rPr>
          <w:i/>
        </w:rPr>
        <w:t>y</w:t>
      </w:r>
      <w:r w:rsidRPr="00D8653E">
        <w:t xml:space="preserve"> representa la cantidad del bien privado que consume el votante-contribuyente y </w:t>
      </w:r>
      <w:r w:rsidRPr="00D8653E">
        <w:rPr>
          <w:i/>
        </w:rPr>
        <w:t>x</w:t>
      </w:r>
      <w:r w:rsidRPr="00D8653E">
        <w:t>, la del bien público, provisto por el gobierno. A su vez,</w:t>
      </w:r>
    </w:p>
    <w:p w14:paraId="244D1CE9" w14:textId="77777777" w:rsidR="00757904" w:rsidRPr="00D8653E" w:rsidRDefault="00757904" w:rsidP="00757904">
      <w:pPr>
        <w:pStyle w:val="Listaconvietas"/>
        <w:numPr>
          <w:ilvl w:val="0"/>
          <w:numId w:val="0"/>
        </w:numPr>
        <w:spacing w:line="360" w:lineRule="auto"/>
        <w:jc w:val="both"/>
      </w:pPr>
    </w:p>
    <w:p w14:paraId="3D5AE518" w14:textId="77777777" w:rsidR="00757904" w:rsidRPr="00D8653E" w:rsidRDefault="00757904" w:rsidP="00757904">
      <w:pPr>
        <w:pStyle w:val="Listaconvietas"/>
        <w:numPr>
          <w:ilvl w:val="0"/>
          <w:numId w:val="0"/>
        </w:numPr>
        <w:spacing w:line="360" w:lineRule="auto"/>
        <w:jc w:val="both"/>
      </w:pPr>
      <w:r w:rsidRPr="00D8653E">
        <w:t xml:space="preserve">2) </w:t>
      </w:r>
      <w:r w:rsidRPr="00D8653E">
        <w:rPr>
          <w:position w:val="-10"/>
        </w:rPr>
        <w:object w:dxaOrig="1500" w:dyaOrig="320" w14:anchorId="749B37E5">
          <v:shape id="_x0000_i1027" type="#_x0000_t75" style="width:75pt;height:15.6pt" o:ole="">
            <v:imagedata r:id="rId12" o:title=""/>
          </v:shape>
          <o:OLEObject Type="Embed" ProgID="Equation.3" ShapeID="_x0000_i1027" DrawAspect="Content" ObjectID="_1666538923" r:id="rId13"/>
        </w:object>
      </w:r>
    </w:p>
    <w:p w14:paraId="6313AA60" w14:textId="77777777" w:rsidR="00757904" w:rsidRPr="00D8653E" w:rsidRDefault="00757904" w:rsidP="00757904">
      <w:pPr>
        <w:pStyle w:val="Listaconvietas"/>
        <w:numPr>
          <w:ilvl w:val="0"/>
          <w:numId w:val="0"/>
        </w:numPr>
        <w:spacing w:line="360" w:lineRule="auto"/>
      </w:pPr>
    </w:p>
    <w:p w14:paraId="4C54A7D8" w14:textId="634F5FCE" w:rsidR="00757904" w:rsidRPr="00583A03" w:rsidRDefault="00757904" w:rsidP="00716D6F">
      <w:pPr>
        <w:pStyle w:val="Listaconvietas"/>
        <w:numPr>
          <w:ilvl w:val="0"/>
          <w:numId w:val="0"/>
        </w:numPr>
        <w:spacing w:line="360" w:lineRule="auto"/>
        <w:jc w:val="both"/>
      </w:pPr>
      <w:r w:rsidRPr="00583A03">
        <w:t>La ecuación 2) dice que el gasto del</w:t>
      </w:r>
      <w:r w:rsidR="00716D6F" w:rsidRPr="00583A03">
        <w:t xml:space="preserve"> consumidor en el bien privado </w:t>
      </w:r>
      <w:r w:rsidR="00716D6F" w:rsidRPr="00583A03">
        <w:rPr>
          <w:i/>
        </w:rPr>
        <w:t>y</w:t>
      </w:r>
      <w:r w:rsidR="00716D6F" w:rsidRPr="00583A03">
        <w:t xml:space="preserve"> </w:t>
      </w:r>
      <w:r w:rsidRPr="00583A03">
        <w:t xml:space="preserve">es igual a su ingreso </w:t>
      </w:r>
      <w:r w:rsidR="00DE39B8" w:rsidRPr="00583A03">
        <w:rPr>
          <w:i/>
        </w:rPr>
        <w:t>Y</w:t>
      </w:r>
      <w:r w:rsidR="00DE39B8" w:rsidRPr="00583A03">
        <w:t xml:space="preserve"> </w:t>
      </w:r>
      <w:r w:rsidRPr="00583A03">
        <w:t xml:space="preserve">menos el gasto en dos impuestos: a) un impuesto que recauda el gobierno provincial por el monto per cápita </w:t>
      </w:r>
      <w:r w:rsidRPr="00583A03">
        <w:rPr>
          <w:i/>
        </w:rPr>
        <w:t>t</w:t>
      </w:r>
      <w:r w:rsidRPr="00583A03">
        <w:t xml:space="preserve">; b) un impuesto que recauda el gobierno nacional por el monto per cápita </w:t>
      </w:r>
      <w:r w:rsidRPr="00583A03">
        <w:rPr>
          <w:i/>
        </w:rPr>
        <w:t>f</w:t>
      </w:r>
      <w:r w:rsidRPr="00583A03">
        <w:t xml:space="preserve"> en la jurisdicción provincial, y que devuelve como transf</w:t>
      </w:r>
      <w:r w:rsidR="00716D6F" w:rsidRPr="00583A03">
        <w:t>erencia al gobierno provincial.</w:t>
      </w:r>
      <w:r w:rsidR="00EA71C5" w:rsidRPr="00583A03">
        <w:t xml:space="preserve"> A </w:t>
      </w:r>
      <w:r w:rsidR="00A80622" w:rsidRPr="00583A03">
        <w:t xml:space="preserve">   su vez,</w:t>
      </w:r>
      <w:r w:rsidR="00CF7907" w:rsidRPr="00583A03">
        <w:rPr>
          <w:position w:val="-10"/>
        </w:rPr>
        <w:object w:dxaOrig="200" w:dyaOrig="320" w14:anchorId="23C76800">
          <v:shape id="_x0000_i1028" type="#_x0000_t75" style="width:11.4pt;height:15.6pt" o:ole="">
            <v:imagedata r:id="rId14" o:title=""/>
          </v:shape>
          <o:OLEObject Type="Embed" ProgID="Equation.3" ShapeID="_x0000_i1028" DrawAspect="Content" ObjectID="_1666538924" r:id="rId15"/>
        </w:object>
      </w:r>
      <w:r w:rsidR="00CF7907" w:rsidRPr="00583A03">
        <w:t>es la fra</w:t>
      </w:r>
      <w:r w:rsidR="00EA71C5" w:rsidRPr="00583A03">
        <w:t xml:space="preserve">cción de </w:t>
      </w:r>
      <w:r w:rsidR="00EA71C5" w:rsidRPr="00583A03">
        <w:rPr>
          <w:i/>
        </w:rPr>
        <w:t>f</w:t>
      </w:r>
      <w:r w:rsidR="00EA71C5" w:rsidRPr="00583A03">
        <w:t xml:space="preserve"> que el consumidor percibe haber pagado</w:t>
      </w:r>
      <w:r w:rsidR="00A80622" w:rsidRPr="00583A03">
        <w:t xml:space="preserve"> (</w:t>
      </w:r>
      <m:oMath>
        <m:r>
          <w:rPr>
            <w:rFonts w:ascii="Cambria Math" w:hAnsi="Cambria Math"/>
          </w:rPr>
          <m:t>0≤∅≤1)</m:t>
        </m:r>
      </m:oMath>
      <w:r w:rsidR="00EA71C5" w:rsidRPr="00583A03">
        <w:t xml:space="preserve">. </w:t>
      </w:r>
      <w:r w:rsidRPr="00583A03">
        <w:t>Con la suma de estos fondos, el gobierno provincial financia el suministro de</w:t>
      </w:r>
      <w:r w:rsidR="00716D6F" w:rsidRPr="00583A03">
        <w:t>l</w:t>
      </w:r>
      <w:r w:rsidRPr="00583A03">
        <w:t xml:space="preserve"> bien público </w:t>
      </w:r>
      <w:r w:rsidRPr="00583A03">
        <w:rPr>
          <w:i/>
        </w:rPr>
        <w:t>x</w:t>
      </w:r>
      <w:r w:rsidR="00856DF4" w:rsidRPr="00583A03">
        <w:t>.</w:t>
      </w:r>
    </w:p>
    <w:p w14:paraId="66B7EE05" w14:textId="77777777" w:rsidR="00757904" w:rsidRPr="00583A03" w:rsidRDefault="00757904" w:rsidP="00757904">
      <w:pPr>
        <w:pStyle w:val="Listaconvietas"/>
        <w:numPr>
          <w:ilvl w:val="0"/>
          <w:numId w:val="0"/>
        </w:numPr>
        <w:spacing w:line="360" w:lineRule="auto"/>
      </w:pPr>
    </w:p>
    <w:p w14:paraId="67183123" w14:textId="0303CEEB" w:rsidR="00757904" w:rsidRPr="00583A03" w:rsidRDefault="00CF7907" w:rsidP="0054183F">
      <w:pPr>
        <w:pStyle w:val="Listaconvietas"/>
        <w:numPr>
          <w:ilvl w:val="0"/>
          <w:numId w:val="0"/>
        </w:numPr>
        <w:spacing w:line="360" w:lineRule="auto"/>
        <w:jc w:val="both"/>
      </w:pPr>
      <w:r w:rsidRPr="00583A03">
        <w:t>Luego</w:t>
      </w:r>
      <w:r w:rsidR="003D7A93" w:rsidRPr="00583A03">
        <w:t xml:space="preserve"> de presentar la estructura de financiamiento del bien público </w:t>
      </w:r>
      <w:r w:rsidRPr="00583A03">
        <w:t>de esta manera</w:t>
      </w:r>
      <w:r w:rsidR="003D7A93" w:rsidRPr="00583A03">
        <w:t xml:space="preserve">, </w:t>
      </w:r>
      <w:r w:rsidR="00EA71C5" w:rsidRPr="00583A03">
        <w:t xml:space="preserve">cuesta suponer que el valor de </w:t>
      </w:r>
      <w:r w:rsidR="00EA71C5" w:rsidRPr="00583A03">
        <w:rPr>
          <w:position w:val="-10"/>
        </w:rPr>
        <w:object w:dxaOrig="200" w:dyaOrig="320" w14:anchorId="437078A9">
          <v:shape id="_x0000_i1029" type="#_x0000_t75" style="width:11.4pt;height:15.6pt" o:ole="">
            <v:imagedata r:id="rId14" o:title=""/>
          </v:shape>
          <o:OLEObject Type="Embed" ProgID="Equation.3" ShapeID="_x0000_i1029" DrawAspect="Content" ObjectID="_1666538925" r:id="rId16"/>
        </w:object>
      </w:r>
      <w:r w:rsidR="00EA71C5" w:rsidRPr="00583A03">
        <w:t xml:space="preserve"> pueda no ser igual a 1. </w:t>
      </w:r>
      <w:r w:rsidR="003D7A93" w:rsidRPr="00583A03">
        <w:t>Sin embargo,</w:t>
      </w:r>
      <w:r w:rsidR="00EA71C5" w:rsidRPr="00583A03">
        <w:t xml:space="preserve"> </w:t>
      </w:r>
      <w:r w:rsidR="003D7A93" w:rsidRPr="00583A03">
        <w:t xml:space="preserve">rara vez </w:t>
      </w:r>
      <w:r w:rsidR="00EA71C5" w:rsidRPr="00583A03">
        <w:t xml:space="preserve">un esquema de transferencias devolutivas </w:t>
      </w:r>
      <w:r w:rsidR="003D7A93" w:rsidRPr="00583A03">
        <w:t>resulta tan claro y simple. P</w:t>
      </w:r>
      <w:r w:rsidR="00EA71C5" w:rsidRPr="00583A03">
        <w:t xml:space="preserve">or esta razón </w:t>
      </w:r>
      <w:r w:rsidR="003D7A93" w:rsidRPr="00583A03">
        <w:t>se recurre al a</w:t>
      </w:r>
      <w:r w:rsidR="00EA71C5" w:rsidRPr="00583A03">
        <w:t>rgumento de la ilusión fiscal.</w:t>
      </w:r>
      <w:r w:rsidR="0054183F" w:rsidRPr="00583A03">
        <w:t xml:space="preserve"> </w:t>
      </w:r>
      <w:r w:rsidR="00A80622" w:rsidRPr="00583A03">
        <w:t xml:space="preserve">Sin </w:t>
      </w:r>
      <w:r w:rsidR="00757904" w:rsidRPr="00583A03">
        <w:t>ilusión fiscal (</w:t>
      </w:r>
      <m:oMath>
        <m:r>
          <w:rPr>
            <w:rFonts w:ascii="Cambria Math" w:hAnsi="Cambria Math"/>
          </w:rPr>
          <m:t xml:space="preserve">∅=1),  </m:t>
        </m:r>
      </m:oMath>
      <w:r w:rsidR="00757904" w:rsidRPr="00583A03">
        <w:t>la ecuación 2 se reescribiría así:</w:t>
      </w:r>
    </w:p>
    <w:p w14:paraId="2621F90A" w14:textId="77777777" w:rsidR="00757904" w:rsidRPr="00583A03" w:rsidRDefault="00757904" w:rsidP="00757904">
      <w:pPr>
        <w:pStyle w:val="Listaconvietas"/>
        <w:numPr>
          <w:ilvl w:val="0"/>
          <w:numId w:val="0"/>
        </w:numPr>
        <w:spacing w:line="360" w:lineRule="auto"/>
      </w:pPr>
    </w:p>
    <w:p w14:paraId="005BA8A3" w14:textId="77777777" w:rsidR="00757904" w:rsidRPr="00583A03" w:rsidRDefault="00757904" w:rsidP="00757904">
      <w:pPr>
        <w:pStyle w:val="Listaconvietas"/>
        <w:numPr>
          <w:ilvl w:val="0"/>
          <w:numId w:val="0"/>
        </w:numPr>
        <w:spacing w:line="360" w:lineRule="auto"/>
      </w:pPr>
      <w:r w:rsidRPr="00583A03">
        <w:t xml:space="preserve">2’) </w:t>
      </w:r>
      <m:oMath>
        <m:r>
          <w:rPr>
            <w:rFonts w:ascii="Cambria Math" w:hAnsi="Cambria Math"/>
          </w:rPr>
          <m:t>y=Y-t-f</m:t>
        </m:r>
      </m:oMath>
    </w:p>
    <w:p w14:paraId="57612AF0" w14:textId="77777777" w:rsidR="00757904" w:rsidRPr="00583A03" w:rsidRDefault="00757904" w:rsidP="00757904">
      <w:pPr>
        <w:pStyle w:val="Listaconvietas"/>
        <w:numPr>
          <w:ilvl w:val="0"/>
          <w:numId w:val="0"/>
        </w:numPr>
        <w:spacing w:line="360" w:lineRule="auto"/>
      </w:pPr>
    </w:p>
    <w:p w14:paraId="45B91C18" w14:textId="4B9175B1" w:rsidR="00757904" w:rsidRPr="00D8653E" w:rsidRDefault="00757904" w:rsidP="0042269E">
      <w:pPr>
        <w:pStyle w:val="Listaconvietas"/>
        <w:numPr>
          <w:ilvl w:val="0"/>
          <w:numId w:val="0"/>
        </w:numPr>
        <w:spacing w:line="360" w:lineRule="auto"/>
        <w:jc w:val="both"/>
      </w:pPr>
      <w:r w:rsidRPr="00583A03">
        <w:t>De forma que el consumidor percibiría el costo pleno del bien público; es decir, enfrentaría una restricción presupuestaria dura. En el otro extremo, con máxima ilusión fiscal</w:t>
      </w:r>
      <w:r w:rsidRPr="00583A03">
        <w:rPr>
          <w:lang w:val="af-ZA"/>
        </w:rPr>
        <w:t xml:space="preserve"> (</w:t>
      </w:r>
      <m:oMath>
        <m:r>
          <w:rPr>
            <w:rFonts w:ascii="Cambria Math" w:hAnsi="Cambria Math"/>
            <w:lang w:val="af-ZA"/>
          </w:rPr>
          <m:t>∅=0</m:t>
        </m:r>
      </m:oMath>
      <w:r w:rsidRPr="00583A03">
        <w:t xml:space="preserve">), el consumidor actuaría como si el bien público </w:t>
      </w:r>
      <w:r w:rsidR="0042269E" w:rsidRPr="00583A03">
        <w:t xml:space="preserve">fuera </w:t>
      </w:r>
      <w:r w:rsidRPr="00583A03">
        <w:t xml:space="preserve">también gratis para la sociedad. Pero el costo de oportunidad del bien público es </w:t>
      </w:r>
      <m:oMath>
        <m:r>
          <w:rPr>
            <w:rFonts w:ascii="Cambria Math" w:hAnsi="Cambria Math"/>
          </w:rPr>
          <m:t>p&gt;0</m:t>
        </m:r>
      </m:oMath>
      <w:r w:rsidRPr="00583A03">
        <w:t xml:space="preserve">. Suponemos, sin decirlo explícitamente, que el precio nominal del bien privado es 1. </w:t>
      </w:r>
      <w:r w:rsidR="00281CBB" w:rsidRPr="00583A03">
        <w:t>Luego,</w:t>
      </w:r>
      <w:r w:rsidRPr="00583A03">
        <w:t xml:space="preserve"> tanto el precio nominal como el relativo del bien público es </w:t>
      </w:r>
      <w:r w:rsidRPr="00583A03">
        <w:rPr>
          <w:i/>
        </w:rPr>
        <w:t>p</w:t>
      </w:r>
      <w:r w:rsidRPr="00583A03">
        <w:t>.</w:t>
      </w:r>
    </w:p>
    <w:p w14:paraId="6977A3F3" w14:textId="77777777" w:rsidR="00757904" w:rsidRPr="00D8653E" w:rsidRDefault="00757904" w:rsidP="00757904">
      <w:pPr>
        <w:pStyle w:val="Listaconvietas"/>
        <w:numPr>
          <w:ilvl w:val="0"/>
          <w:numId w:val="0"/>
        </w:numPr>
        <w:spacing w:line="360" w:lineRule="auto"/>
      </w:pPr>
    </w:p>
    <w:p w14:paraId="2DD99C50" w14:textId="57EDCD28" w:rsidR="00757904" w:rsidRPr="00D8653E" w:rsidRDefault="00757904" w:rsidP="00757904">
      <w:pPr>
        <w:pStyle w:val="Listaconvietas"/>
        <w:numPr>
          <w:ilvl w:val="0"/>
          <w:numId w:val="0"/>
        </w:numPr>
        <w:spacing w:line="360" w:lineRule="auto"/>
        <w:jc w:val="both"/>
      </w:pPr>
      <w:r w:rsidRPr="00D8653E">
        <w:t>Si ahora suponemos que el gobierno local ofrece un solo bien, su restricción presupuestaria quedaría reducida a esta ecuación:</w:t>
      </w:r>
    </w:p>
    <w:p w14:paraId="2050850C" w14:textId="77777777" w:rsidR="008F2675" w:rsidRDefault="008F2675" w:rsidP="008F2675">
      <w:pPr>
        <w:pStyle w:val="Listaconvietas"/>
        <w:numPr>
          <w:ilvl w:val="0"/>
          <w:numId w:val="0"/>
        </w:numPr>
        <w:spacing w:line="360" w:lineRule="auto"/>
        <w:jc w:val="both"/>
      </w:pPr>
    </w:p>
    <w:p w14:paraId="2AB69AFE" w14:textId="77777777" w:rsidR="00757904" w:rsidRPr="00D8653E" w:rsidRDefault="00757904" w:rsidP="00757904">
      <w:pPr>
        <w:pStyle w:val="Listaconvietas"/>
        <w:numPr>
          <w:ilvl w:val="0"/>
          <w:numId w:val="0"/>
        </w:numPr>
        <w:spacing w:line="360" w:lineRule="auto"/>
        <w:jc w:val="both"/>
      </w:pPr>
      <w:r w:rsidRPr="00D8653E">
        <w:lastRenderedPageBreak/>
        <w:t xml:space="preserve">3) </w:t>
      </w:r>
      <w:r w:rsidRPr="00D8653E">
        <w:rPr>
          <w:position w:val="-24"/>
        </w:rPr>
        <w:object w:dxaOrig="1160" w:dyaOrig="620" w14:anchorId="50CFBAFD">
          <v:shape id="_x0000_i1030" type="#_x0000_t75" style="width:57pt;height:30.6pt" o:ole="">
            <v:imagedata r:id="rId17" o:title=""/>
          </v:shape>
          <o:OLEObject Type="Embed" ProgID="Equation.3" ShapeID="_x0000_i1030" DrawAspect="Content" ObjectID="_1666538926" r:id="rId18"/>
        </w:object>
      </w:r>
    </w:p>
    <w:p w14:paraId="3A64DD03" w14:textId="77777777" w:rsidR="00757904" w:rsidRPr="00D8653E" w:rsidRDefault="00757904" w:rsidP="00757904">
      <w:pPr>
        <w:pStyle w:val="Listaconvietas"/>
        <w:numPr>
          <w:ilvl w:val="0"/>
          <w:numId w:val="0"/>
        </w:numPr>
        <w:spacing w:line="360" w:lineRule="auto"/>
        <w:jc w:val="both"/>
      </w:pPr>
    </w:p>
    <w:p w14:paraId="4A7F94A8" w14:textId="77777777" w:rsidR="00757904" w:rsidRPr="00D8653E" w:rsidRDefault="00757904" w:rsidP="00757904">
      <w:pPr>
        <w:pStyle w:val="Listaconvietas"/>
        <w:numPr>
          <w:ilvl w:val="0"/>
          <w:numId w:val="0"/>
        </w:numPr>
        <w:spacing w:line="360" w:lineRule="auto"/>
        <w:jc w:val="both"/>
      </w:pPr>
      <w:r w:rsidRPr="00D8653E">
        <w:t>El lado izquierdo de la ecuación simboliza los ingresos totales del gobierno local, o la suma de la recaudación local per cápita y las transferencias nacionales per cápita. El lado derecho simboliza el costo per cápita de provisión del bien público. Ingresos y gasto son iguales ya que suponemos un presupuesto equilibrado. Luego, la recaudación local cubre una parte del costo del bien público y las transferencias, el resto.</w:t>
      </w:r>
    </w:p>
    <w:p w14:paraId="1B76BF55" w14:textId="77777777" w:rsidR="00757904" w:rsidRPr="00D8653E" w:rsidRDefault="00757904" w:rsidP="00757904">
      <w:pPr>
        <w:pStyle w:val="Listaconvietas"/>
        <w:numPr>
          <w:ilvl w:val="0"/>
          <w:numId w:val="0"/>
        </w:numPr>
        <w:spacing w:line="360" w:lineRule="auto"/>
        <w:jc w:val="both"/>
      </w:pPr>
    </w:p>
    <w:p w14:paraId="3596F29A" w14:textId="77777777" w:rsidR="00757904" w:rsidRPr="00D8653E" w:rsidRDefault="00757904" w:rsidP="00757904">
      <w:pPr>
        <w:pStyle w:val="Listaconvietas"/>
        <w:numPr>
          <w:ilvl w:val="0"/>
          <w:numId w:val="0"/>
        </w:numPr>
        <w:spacing w:line="360" w:lineRule="auto"/>
        <w:jc w:val="both"/>
      </w:pPr>
      <w:r w:rsidRPr="00D8653E">
        <w:t xml:space="preserve">4) </w:t>
      </w:r>
      <w:r w:rsidRPr="00D8653E">
        <w:rPr>
          <w:position w:val="-24"/>
        </w:rPr>
        <w:object w:dxaOrig="1420" w:dyaOrig="620" w14:anchorId="4C456ABB">
          <v:shape id="_x0000_i1031" type="#_x0000_t75" style="width:71.4pt;height:30.6pt" o:ole="">
            <v:imagedata r:id="rId19" o:title=""/>
          </v:shape>
          <o:OLEObject Type="Embed" ProgID="Equation.3" ShapeID="_x0000_i1031" DrawAspect="Content" ObjectID="_1666538927" r:id="rId20"/>
        </w:object>
      </w:r>
    </w:p>
    <w:p w14:paraId="7AE5C5CC" w14:textId="77777777" w:rsidR="00757904" w:rsidRPr="00D8653E" w:rsidRDefault="00757904" w:rsidP="00757904">
      <w:pPr>
        <w:pStyle w:val="Listaconvietas"/>
        <w:numPr>
          <w:ilvl w:val="0"/>
          <w:numId w:val="0"/>
        </w:numPr>
        <w:spacing w:line="360" w:lineRule="auto"/>
        <w:jc w:val="both"/>
      </w:pPr>
    </w:p>
    <w:p w14:paraId="5BE22ABA" w14:textId="77777777" w:rsidR="00757904" w:rsidRPr="00D8653E" w:rsidRDefault="00757904" w:rsidP="00757904">
      <w:pPr>
        <w:pStyle w:val="Listaconvietas"/>
        <w:numPr>
          <w:ilvl w:val="0"/>
          <w:numId w:val="0"/>
        </w:numPr>
        <w:spacing w:line="360" w:lineRule="auto"/>
        <w:jc w:val="both"/>
      </w:pPr>
      <w:r w:rsidRPr="00D8653E">
        <w:t xml:space="preserve">5) </w:t>
      </w:r>
      <w:r w:rsidRPr="00D8653E">
        <w:rPr>
          <w:position w:val="-24"/>
        </w:rPr>
        <w:object w:dxaOrig="1040" w:dyaOrig="620" w14:anchorId="1E1C5437">
          <v:shape id="_x0000_i1032" type="#_x0000_t75" style="width:51.6pt;height:30.6pt" o:ole="">
            <v:imagedata r:id="rId21" o:title=""/>
          </v:shape>
          <o:OLEObject Type="Embed" ProgID="Equation.3" ShapeID="_x0000_i1032" DrawAspect="Content" ObjectID="_1666538928" r:id="rId22"/>
        </w:object>
      </w:r>
    </w:p>
    <w:p w14:paraId="0E8E1916" w14:textId="77777777" w:rsidR="00757904" w:rsidRPr="00D8653E" w:rsidRDefault="00757904" w:rsidP="00757904">
      <w:pPr>
        <w:pStyle w:val="Listaconvietas"/>
        <w:numPr>
          <w:ilvl w:val="0"/>
          <w:numId w:val="0"/>
        </w:numPr>
        <w:spacing w:line="360" w:lineRule="auto"/>
        <w:jc w:val="both"/>
      </w:pPr>
    </w:p>
    <w:p w14:paraId="7C65099A" w14:textId="77777777" w:rsidR="00757904" w:rsidRPr="00D8653E" w:rsidRDefault="00757904" w:rsidP="00757904">
      <w:pPr>
        <w:pStyle w:val="Listaconvietas"/>
        <w:numPr>
          <w:ilvl w:val="0"/>
          <w:numId w:val="0"/>
        </w:numPr>
        <w:spacing w:line="360" w:lineRule="auto"/>
        <w:jc w:val="both"/>
      </w:pPr>
      <w:r w:rsidRPr="00D8653E">
        <w:t xml:space="preserve">El coeficiente </w:t>
      </w:r>
      <w:r w:rsidRPr="00D8653E">
        <w:rPr>
          <w:position w:val="-6"/>
        </w:rPr>
        <w:object w:dxaOrig="240" w:dyaOrig="220" w14:anchorId="3FD77203">
          <v:shape id="_x0000_i1033" type="#_x0000_t75" style="width:12pt;height:11.4pt" o:ole="">
            <v:imagedata r:id="rId23" o:title=""/>
          </v:shape>
          <o:OLEObject Type="Embed" ProgID="Equation.3" ShapeID="_x0000_i1033" DrawAspect="Content" ObjectID="_1666538929" r:id="rId24"/>
        </w:object>
      </w:r>
      <w:r w:rsidRPr="00D8653E">
        <w:t xml:space="preserve"> informa la fracción del gasto local que se financia con transferencias de la Nación. Por tanto, la expresión </w:t>
      </w:r>
      <w:r w:rsidRPr="00D8653E">
        <w:rPr>
          <w:position w:val="-10"/>
        </w:rPr>
        <w:object w:dxaOrig="720" w:dyaOrig="320" w14:anchorId="473DA120">
          <v:shape id="_x0000_i1034" type="#_x0000_t75" style="width:36.6pt;height:15.6pt" o:ole="">
            <v:imagedata r:id="rId25" o:title=""/>
          </v:shape>
          <o:OLEObject Type="Embed" ProgID="Equation.3" ShapeID="_x0000_i1034" DrawAspect="Content" ObjectID="_1666538930" r:id="rId26"/>
        </w:object>
      </w:r>
      <w:r w:rsidRPr="00D8653E">
        <w:t xml:space="preserve"> representa la fracción del gasto local financiada con recaudación local. Si ahora reemplazáramos las ecuaciones 4 y 5 en la ecuación 2 y ésta en la ecuación 1, la función de utilidad del votante-contribuyente local quedaría reformulada de esta manera:</w:t>
      </w:r>
    </w:p>
    <w:p w14:paraId="4B2E4404" w14:textId="77777777" w:rsidR="00757904" w:rsidRPr="00D8653E" w:rsidRDefault="00757904" w:rsidP="00757904">
      <w:pPr>
        <w:pStyle w:val="Listaconvietas"/>
        <w:numPr>
          <w:ilvl w:val="0"/>
          <w:numId w:val="0"/>
        </w:numPr>
        <w:spacing w:line="360" w:lineRule="auto"/>
        <w:jc w:val="both"/>
      </w:pPr>
    </w:p>
    <w:p w14:paraId="48F43D05" w14:textId="77777777" w:rsidR="00757904" w:rsidRPr="00D8653E" w:rsidRDefault="00757904" w:rsidP="00757904">
      <w:pPr>
        <w:pStyle w:val="Listaconvietas"/>
        <w:numPr>
          <w:ilvl w:val="0"/>
          <w:numId w:val="0"/>
        </w:numPr>
        <w:spacing w:line="360" w:lineRule="auto"/>
        <w:jc w:val="both"/>
      </w:pPr>
      <w:r w:rsidRPr="00D8653E">
        <w:t xml:space="preserve">6) </w:t>
      </w:r>
      <w:r w:rsidRPr="00D8653E">
        <w:rPr>
          <w:position w:val="-28"/>
        </w:rPr>
        <w:object w:dxaOrig="3540" w:dyaOrig="680" w14:anchorId="225B1FC5">
          <v:shape id="_x0000_i1035" type="#_x0000_t75" style="width:176.4pt;height:33.6pt" o:ole="">
            <v:imagedata r:id="rId27" o:title=""/>
          </v:shape>
          <o:OLEObject Type="Embed" ProgID="Equation.3" ShapeID="_x0000_i1035" DrawAspect="Content" ObjectID="_1666538931" r:id="rId28"/>
        </w:object>
      </w:r>
    </w:p>
    <w:p w14:paraId="5CD5D469" w14:textId="77777777" w:rsidR="00757904" w:rsidRPr="00D8653E" w:rsidRDefault="00757904" w:rsidP="00757904">
      <w:pPr>
        <w:pStyle w:val="Listaconvietas"/>
        <w:numPr>
          <w:ilvl w:val="0"/>
          <w:numId w:val="0"/>
        </w:numPr>
        <w:spacing w:line="360" w:lineRule="auto"/>
      </w:pPr>
    </w:p>
    <w:p w14:paraId="05817A43" w14:textId="16DDA95E" w:rsidR="00773654" w:rsidRPr="00D8653E" w:rsidRDefault="00757904" w:rsidP="00773654">
      <w:pPr>
        <w:pStyle w:val="Listaconvietas"/>
        <w:numPr>
          <w:ilvl w:val="0"/>
          <w:numId w:val="0"/>
        </w:numPr>
        <w:spacing w:line="360" w:lineRule="auto"/>
        <w:jc w:val="both"/>
      </w:pPr>
      <w:r w:rsidRPr="00D8653E">
        <w:t xml:space="preserve">Esta reformulación de la función de utilidad incorpora la restricción presupuestaria. Bastará derivar la función de utilidad con respecto a </w:t>
      </w:r>
      <w:r w:rsidRPr="00D8653E">
        <w:rPr>
          <w:i/>
        </w:rPr>
        <w:t>x,</w:t>
      </w:r>
      <w:r w:rsidRPr="00D8653E">
        <w:t xml:space="preserve"> igualar la ecuación resultante a cero y luego reordenarla para llegar</w:t>
      </w:r>
      <w:r w:rsidR="00773654">
        <w:t xml:space="preserve"> a la condición de primer orden</w:t>
      </w:r>
      <w:r w:rsidR="00182CC0">
        <w:t xml:space="preserve"> </w:t>
      </w:r>
      <w:r w:rsidR="00182CC0" w:rsidRPr="00583A03">
        <w:t>(</w:t>
      </w:r>
      <w:r w:rsidR="0098279C" w:rsidRPr="00583A03">
        <w:t>el Apéndice Matemático</w:t>
      </w:r>
      <w:r w:rsidR="00E6427E" w:rsidRPr="00583A03">
        <w:t xml:space="preserve"> explica el proceso</w:t>
      </w:r>
      <w:r w:rsidR="0098279C" w:rsidRPr="00583A03">
        <w:t>)</w:t>
      </w:r>
      <w:r w:rsidR="00182CC0" w:rsidRPr="00583A03">
        <w:t xml:space="preserve">. </w:t>
      </w:r>
      <w:r w:rsidR="00C931CB" w:rsidRPr="00583A03">
        <w:t xml:space="preserve">La </w:t>
      </w:r>
      <w:r w:rsidR="00995AC1" w:rsidRPr="00583A03">
        <w:t>siguiente</w:t>
      </w:r>
      <w:r w:rsidR="007E73E8" w:rsidRPr="00583A03">
        <w:t xml:space="preserve"> </w:t>
      </w:r>
      <w:r w:rsidR="00C931CB" w:rsidRPr="00583A03">
        <w:t xml:space="preserve">ecuación </w:t>
      </w:r>
      <w:r w:rsidR="00773654" w:rsidRPr="00583A03">
        <w:t>in</w:t>
      </w:r>
      <w:r w:rsidR="00AB6061" w:rsidRPr="00583A03">
        <w:t>dica</w:t>
      </w:r>
      <w:r w:rsidR="00773654" w:rsidRPr="00583A03">
        <w:t xml:space="preserve"> la cantidad óptima del bien público que </w:t>
      </w:r>
      <w:r w:rsidR="00AB6061" w:rsidRPr="00583A03">
        <w:t xml:space="preserve">el gobierno local </w:t>
      </w:r>
      <w:r w:rsidR="00773654" w:rsidRPr="00583A03">
        <w:t>debería producir</w:t>
      </w:r>
      <w:r w:rsidR="00AB6061" w:rsidRPr="00583A03">
        <w:t>.</w:t>
      </w:r>
    </w:p>
    <w:p w14:paraId="69E18937" w14:textId="77777777" w:rsidR="00773654" w:rsidRDefault="00773654" w:rsidP="00757904">
      <w:pPr>
        <w:pStyle w:val="Listaconvietas"/>
        <w:numPr>
          <w:ilvl w:val="0"/>
          <w:numId w:val="0"/>
        </w:numPr>
        <w:spacing w:line="360" w:lineRule="auto"/>
        <w:jc w:val="both"/>
      </w:pPr>
    </w:p>
    <w:p w14:paraId="77364F8D" w14:textId="77777777" w:rsidR="00757904" w:rsidRPr="00D8653E" w:rsidRDefault="00757904" w:rsidP="00757904">
      <w:pPr>
        <w:pStyle w:val="Listaconvietas"/>
        <w:numPr>
          <w:ilvl w:val="0"/>
          <w:numId w:val="0"/>
        </w:numPr>
        <w:spacing w:line="360" w:lineRule="auto"/>
        <w:jc w:val="both"/>
      </w:pPr>
      <w:r w:rsidRPr="00D8653E">
        <w:t xml:space="preserve">7) </w:t>
      </w:r>
      <w:r w:rsidRPr="00D8653E">
        <w:rPr>
          <w:position w:val="-24"/>
        </w:rPr>
        <w:object w:dxaOrig="2299" w:dyaOrig="620" w14:anchorId="1CDE858F">
          <v:shape id="_x0000_i1036" type="#_x0000_t75" style="width:114.6pt;height:30.6pt" o:ole="">
            <v:imagedata r:id="rId29" o:title=""/>
          </v:shape>
          <o:OLEObject Type="Embed" ProgID="Equation.3" ShapeID="_x0000_i1036" DrawAspect="Content" ObjectID="_1666538932" r:id="rId30"/>
        </w:object>
      </w:r>
    </w:p>
    <w:p w14:paraId="7996CE5A" w14:textId="77777777" w:rsidR="00757904" w:rsidRPr="00D8653E" w:rsidRDefault="00757904" w:rsidP="00757904">
      <w:pPr>
        <w:pStyle w:val="Listaconvietas"/>
        <w:numPr>
          <w:ilvl w:val="0"/>
          <w:numId w:val="0"/>
        </w:numPr>
        <w:spacing w:line="360" w:lineRule="auto"/>
        <w:jc w:val="both"/>
      </w:pPr>
    </w:p>
    <w:p w14:paraId="297755E5" w14:textId="77777777" w:rsidR="00757904" w:rsidRPr="00D8653E" w:rsidRDefault="00757904" w:rsidP="00757904">
      <w:pPr>
        <w:pStyle w:val="Listaconvietas"/>
        <w:numPr>
          <w:ilvl w:val="0"/>
          <w:numId w:val="0"/>
        </w:numPr>
        <w:spacing w:line="360" w:lineRule="auto"/>
        <w:jc w:val="both"/>
      </w:pPr>
      <w:r w:rsidRPr="00D8653E">
        <w:t xml:space="preserve">Para entender el mensaje de la ecuación 7 es necesario hacer supuestos sobre los valores de los coeficientes </w:t>
      </w:r>
      <w:r w:rsidRPr="00D8653E">
        <w:rPr>
          <w:position w:val="-6"/>
        </w:rPr>
        <w:object w:dxaOrig="240" w:dyaOrig="220" w14:anchorId="1FB6933F">
          <v:shape id="_x0000_i1037" type="#_x0000_t75" style="width:12pt;height:11.4pt" o:ole="">
            <v:imagedata r:id="rId31" o:title=""/>
          </v:shape>
          <o:OLEObject Type="Embed" ProgID="Equation.3" ShapeID="_x0000_i1037" DrawAspect="Content" ObjectID="_1666538933" r:id="rId32"/>
        </w:object>
      </w:r>
      <w:r w:rsidRPr="00D8653E">
        <w:t xml:space="preserve"> y </w:t>
      </w:r>
      <w:r w:rsidRPr="00D8653E">
        <w:rPr>
          <w:position w:val="-10"/>
        </w:rPr>
        <w:object w:dxaOrig="200" w:dyaOrig="320" w14:anchorId="3A3B98A0">
          <v:shape id="_x0000_i1038" type="#_x0000_t75" style="width:11.4pt;height:15.6pt" o:ole="">
            <v:imagedata r:id="rId33" o:title=""/>
          </v:shape>
          <o:OLEObject Type="Embed" ProgID="Equation.3" ShapeID="_x0000_i1038" DrawAspect="Content" ObjectID="_1666538934" r:id="rId34"/>
        </w:object>
      </w:r>
      <w:r w:rsidRPr="00D8653E">
        <w:t>:</w:t>
      </w:r>
    </w:p>
    <w:p w14:paraId="62270E20" w14:textId="77777777" w:rsidR="00757904" w:rsidRPr="00D8653E" w:rsidRDefault="00757904" w:rsidP="00757904">
      <w:pPr>
        <w:pStyle w:val="Listaconvietas"/>
        <w:numPr>
          <w:ilvl w:val="0"/>
          <w:numId w:val="0"/>
        </w:numPr>
        <w:spacing w:line="360" w:lineRule="auto"/>
        <w:jc w:val="both"/>
      </w:pPr>
    </w:p>
    <w:p w14:paraId="0F55DCF6" w14:textId="77777777" w:rsidR="00757904" w:rsidRPr="00D8653E" w:rsidRDefault="00757904" w:rsidP="00757904">
      <w:pPr>
        <w:pStyle w:val="Listaconvietas"/>
        <w:numPr>
          <w:ilvl w:val="0"/>
          <w:numId w:val="0"/>
        </w:numPr>
        <w:spacing w:line="360" w:lineRule="auto"/>
        <w:jc w:val="both"/>
      </w:pPr>
      <w:r w:rsidRPr="00D8653E">
        <w:t xml:space="preserve">Si </w:t>
      </w:r>
      <w:r w:rsidRPr="00D8653E">
        <w:rPr>
          <w:position w:val="-6"/>
        </w:rPr>
        <w:object w:dxaOrig="600" w:dyaOrig="279" w14:anchorId="1B5B0992">
          <v:shape id="_x0000_i1039" type="#_x0000_t75" style="width:30.6pt;height:15pt" o:ole="">
            <v:imagedata r:id="rId35" o:title=""/>
          </v:shape>
          <o:OLEObject Type="Embed" ProgID="Equation.3" ShapeID="_x0000_i1039" DrawAspect="Content" ObjectID="_1666538935" r:id="rId36"/>
        </w:object>
      </w:r>
      <w:r w:rsidRPr="00D8653E">
        <w:t>, o sea, en ausencia de un fondo común, la cantidad del bien público que maximiza la utilidad del grupo compuesto por los N votantes-contribuyentes es aquélla que iguala la valuación marginal social del bien a su costo de oportunidad:</w:t>
      </w:r>
    </w:p>
    <w:p w14:paraId="6C0A7C17" w14:textId="77777777" w:rsidR="00757904" w:rsidRPr="00D8653E" w:rsidRDefault="00757904" w:rsidP="00757904">
      <w:pPr>
        <w:pStyle w:val="Listaconvietas"/>
        <w:numPr>
          <w:ilvl w:val="0"/>
          <w:numId w:val="0"/>
        </w:numPr>
        <w:spacing w:line="360" w:lineRule="auto"/>
        <w:jc w:val="both"/>
      </w:pPr>
    </w:p>
    <w:p w14:paraId="69477D6F" w14:textId="77777777" w:rsidR="00757904" w:rsidRPr="00D8653E" w:rsidRDefault="00757904" w:rsidP="00757904">
      <w:pPr>
        <w:pStyle w:val="Listaconvietas"/>
        <w:numPr>
          <w:ilvl w:val="0"/>
          <w:numId w:val="0"/>
        </w:numPr>
        <w:spacing w:line="360" w:lineRule="auto"/>
        <w:jc w:val="both"/>
      </w:pPr>
      <w:r w:rsidRPr="00D8653E">
        <w:t xml:space="preserve">8) </w:t>
      </w:r>
      <w:r w:rsidRPr="00D8653E">
        <w:rPr>
          <w:position w:val="-10"/>
        </w:rPr>
        <w:object w:dxaOrig="1180" w:dyaOrig="320" w14:anchorId="0E8AD88B">
          <v:shape id="_x0000_i1040" type="#_x0000_t75" style="width:59.4pt;height:15.6pt" o:ole="">
            <v:imagedata r:id="rId37" o:title=""/>
          </v:shape>
          <o:OLEObject Type="Embed" ProgID="Equation.3" ShapeID="_x0000_i1040" DrawAspect="Content" ObjectID="_1666538936" r:id="rId38"/>
        </w:object>
      </w:r>
    </w:p>
    <w:p w14:paraId="76A3E78F" w14:textId="77777777" w:rsidR="00757904" w:rsidRPr="00D8653E" w:rsidRDefault="00757904" w:rsidP="00757904">
      <w:pPr>
        <w:pStyle w:val="Listaconvietas"/>
        <w:numPr>
          <w:ilvl w:val="0"/>
          <w:numId w:val="0"/>
        </w:numPr>
        <w:spacing w:line="360" w:lineRule="auto"/>
        <w:jc w:val="both"/>
      </w:pPr>
    </w:p>
    <w:p w14:paraId="08F749CC" w14:textId="77777777" w:rsidR="00757904" w:rsidRPr="00D8653E" w:rsidRDefault="00757904" w:rsidP="00757904">
      <w:pPr>
        <w:pStyle w:val="Listaconvietas"/>
        <w:numPr>
          <w:ilvl w:val="0"/>
          <w:numId w:val="0"/>
        </w:numPr>
        <w:spacing w:line="360" w:lineRule="auto"/>
        <w:jc w:val="both"/>
      </w:pPr>
      <w:r w:rsidRPr="00D8653E">
        <w:t>Un bien público es un bien de consumo conjunto. Esto implica que el costo de oportunidad de la cantidad óptima debe igualar a la suma vertical de las valuaciones individuales.</w:t>
      </w:r>
    </w:p>
    <w:p w14:paraId="11D6B981" w14:textId="77777777" w:rsidR="00757904" w:rsidRPr="00D8653E" w:rsidRDefault="00757904" w:rsidP="00757904">
      <w:pPr>
        <w:pStyle w:val="Listaconvietas"/>
        <w:numPr>
          <w:ilvl w:val="0"/>
          <w:numId w:val="0"/>
        </w:numPr>
        <w:spacing w:line="360" w:lineRule="auto"/>
        <w:jc w:val="both"/>
      </w:pPr>
    </w:p>
    <w:p w14:paraId="75974BA6" w14:textId="77777777" w:rsidR="00757904" w:rsidRPr="00D8653E" w:rsidRDefault="00757904" w:rsidP="00757904">
      <w:pPr>
        <w:pStyle w:val="Listaconvietas"/>
        <w:numPr>
          <w:ilvl w:val="0"/>
          <w:numId w:val="0"/>
        </w:numPr>
        <w:spacing w:line="360" w:lineRule="auto"/>
        <w:jc w:val="both"/>
      </w:pPr>
      <w:r w:rsidRPr="00D8653E">
        <w:t xml:space="preserve">Si </w:t>
      </w:r>
      <w:r w:rsidRPr="00D8653E">
        <w:rPr>
          <w:position w:val="-6"/>
        </w:rPr>
        <w:object w:dxaOrig="900" w:dyaOrig="279" w14:anchorId="7FA2104D">
          <v:shape id="_x0000_i1041" type="#_x0000_t75" style="width:45.6pt;height:15pt" o:ole="">
            <v:imagedata r:id="rId39" o:title=""/>
          </v:shape>
          <o:OLEObject Type="Embed" ProgID="Equation.3" ShapeID="_x0000_i1041" DrawAspect="Content" ObjectID="_1666538937" r:id="rId40"/>
        </w:object>
      </w:r>
      <w:r w:rsidRPr="00D8653E">
        <w:t xml:space="preserve"> y </w:t>
      </w:r>
      <w:r w:rsidRPr="00D8653E">
        <w:rPr>
          <w:position w:val="-10"/>
        </w:rPr>
        <w:object w:dxaOrig="520" w:dyaOrig="320" w14:anchorId="075868F1">
          <v:shape id="_x0000_i1042" type="#_x0000_t75" style="width:26.4pt;height:15.6pt" o:ole="">
            <v:imagedata r:id="rId41" o:title=""/>
          </v:shape>
          <o:OLEObject Type="Embed" ProgID="Equation.3" ShapeID="_x0000_i1042" DrawAspect="Content" ObjectID="_1666538938" r:id="rId42"/>
        </w:object>
      </w:r>
      <w:r w:rsidRPr="00D8653E">
        <w:t>, o sea, en presencia de un fondo común y en ausencia de ilusión fiscal, la cantidad óptima del bien público es la misma que en el caso anterior.</w:t>
      </w:r>
    </w:p>
    <w:p w14:paraId="483E0B93" w14:textId="77777777" w:rsidR="00757904" w:rsidRPr="00D8653E" w:rsidRDefault="00757904" w:rsidP="00757904">
      <w:pPr>
        <w:pStyle w:val="Listaconvietas"/>
        <w:numPr>
          <w:ilvl w:val="0"/>
          <w:numId w:val="0"/>
        </w:numPr>
        <w:spacing w:line="360" w:lineRule="auto"/>
        <w:jc w:val="both"/>
      </w:pPr>
    </w:p>
    <w:p w14:paraId="0F4EF261" w14:textId="77777777" w:rsidR="00757904" w:rsidRPr="00D8653E" w:rsidRDefault="00757904" w:rsidP="00757904">
      <w:pPr>
        <w:pStyle w:val="Listaconvietas"/>
        <w:numPr>
          <w:ilvl w:val="0"/>
          <w:numId w:val="0"/>
        </w:numPr>
        <w:spacing w:line="360" w:lineRule="auto"/>
        <w:jc w:val="both"/>
      </w:pPr>
      <w:r w:rsidRPr="00D8653E">
        <w:t xml:space="preserve">Si </w:t>
      </w:r>
      <w:r w:rsidRPr="00D8653E">
        <w:rPr>
          <w:position w:val="-6"/>
        </w:rPr>
        <w:object w:dxaOrig="900" w:dyaOrig="279" w14:anchorId="65BE888A">
          <v:shape id="_x0000_i1043" type="#_x0000_t75" style="width:45.6pt;height:15pt" o:ole="">
            <v:imagedata r:id="rId43" o:title=""/>
          </v:shape>
          <o:OLEObject Type="Embed" ProgID="Equation.3" ShapeID="_x0000_i1043" DrawAspect="Content" ObjectID="_1666538939" r:id="rId44"/>
        </w:object>
      </w:r>
      <w:r w:rsidRPr="00D8653E">
        <w:t xml:space="preserve"> y </w:t>
      </w:r>
      <w:r w:rsidRPr="00D8653E">
        <w:rPr>
          <w:position w:val="-10"/>
        </w:rPr>
        <w:object w:dxaOrig="560" w:dyaOrig="320" w14:anchorId="59890FAA">
          <v:shape id="_x0000_i1044" type="#_x0000_t75" style="width:27.6pt;height:15.6pt" o:ole="">
            <v:imagedata r:id="rId45" o:title=""/>
          </v:shape>
          <o:OLEObject Type="Embed" ProgID="Equation.3" ShapeID="_x0000_i1044" DrawAspect="Content" ObjectID="_1666538940" r:id="rId46"/>
        </w:object>
      </w:r>
      <w:r w:rsidRPr="00D8653E">
        <w:t>, o sea, en presencia de un fondo común y de máxima ilusión fiscal, la valuación marginal del bien público es menor que en los casos anteriores:</w:t>
      </w:r>
    </w:p>
    <w:p w14:paraId="62B51CE6" w14:textId="77777777" w:rsidR="00757904" w:rsidRPr="00D8653E" w:rsidRDefault="00757904" w:rsidP="00757904">
      <w:pPr>
        <w:pStyle w:val="Listaconvietas"/>
        <w:numPr>
          <w:ilvl w:val="0"/>
          <w:numId w:val="0"/>
        </w:numPr>
        <w:spacing w:line="360" w:lineRule="auto"/>
        <w:jc w:val="both"/>
      </w:pPr>
    </w:p>
    <w:p w14:paraId="59227D18" w14:textId="77777777" w:rsidR="00757904" w:rsidRPr="00D8653E" w:rsidRDefault="00757904" w:rsidP="00757904">
      <w:pPr>
        <w:pStyle w:val="Listaconvietas"/>
        <w:numPr>
          <w:ilvl w:val="0"/>
          <w:numId w:val="0"/>
        </w:numPr>
        <w:spacing w:line="360" w:lineRule="auto"/>
        <w:jc w:val="both"/>
      </w:pPr>
      <w:r w:rsidRPr="00D8653E">
        <w:t xml:space="preserve">9) </w:t>
      </w:r>
      <w:r w:rsidRPr="00D8653E">
        <w:rPr>
          <w:position w:val="-10"/>
        </w:rPr>
        <w:object w:dxaOrig="1160" w:dyaOrig="320" w14:anchorId="7A2ADE6C">
          <v:shape id="_x0000_i1045" type="#_x0000_t75" style="width:57pt;height:15.6pt" o:ole="">
            <v:imagedata r:id="rId47" o:title=""/>
          </v:shape>
          <o:OLEObject Type="Embed" ProgID="Equation.3" ShapeID="_x0000_i1045" DrawAspect="Content" ObjectID="_1666538941" r:id="rId48"/>
        </w:object>
      </w:r>
    </w:p>
    <w:p w14:paraId="1B25DDE2" w14:textId="77777777" w:rsidR="00757904" w:rsidRPr="00D8653E" w:rsidRDefault="00757904" w:rsidP="00757904">
      <w:pPr>
        <w:pStyle w:val="Listaconvietas"/>
        <w:numPr>
          <w:ilvl w:val="0"/>
          <w:numId w:val="0"/>
        </w:numPr>
        <w:spacing w:line="360" w:lineRule="auto"/>
        <w:jc w:val="both"/>
      </w:pPr>
    </w:p>
    <w:p w14:paraId="16BDEA9D" w14:textId="1812A261" w:rsidR="00757904" w:rsidRDefault="00757904" w:rsidP="00757904">
      <w:pPr>
        <w:pStyle w:val="Listaconvietas"/>
        <w:numPr>
          <w:ilvl w:val="0"/>
          <w:numId w:val="0"/>
        </w:numPr>
        <w:spacing w:line="360" w:lineRule="auto"/>
        <w:jc w:val="both"/>
      </w:pPr>
      <w:r w:rsidRPr="00D8653E">
        <w:rPr>
          <w:lang w:val="es-MX"/>
        </w:rPr>
        <w:t xml:space="preserve">Luego, por la ley de la curva de demanda de pendiente negativa, la cantidad consumida del bien debe ser mayor que la óptima. En otras palabras, la </w:t>
      </w:r>
      <w:r w:rsidR="00CF0D2A">
        <w:rPr>
          <w:lang w:val="es-MX"/>
        </w:rPr>
        <w:t xml:space="preserve">combinación </w:t>
      </w:r>
      <w:r w:rsidRPr="00D8653E">
        <w:rPr>
          <w:lang w:val="es-MX"/>
        </w:rPr>
        <w:t xml:space="preserve">de un fondo común </w:t>
      </w:r>
      <w:r w:rsidR="00693A76" w:rsidRPr="00693A76">
        <w:rPr>
          <w:highlight w:val="yellow"/>
          <w:lang w:val="es-MX"/>
        </w:rPr>
        <w:t>e</w:t>
      </w:r>
      <w:r w:rsidRPr="00D8653E">
        <w:rPr>
          <w:lang w:val="es-MX"/>
        </w:rPr>
        <w:t xml:space="preserve"> ilusión fiscal implica sobre-expansión del gasto público local.</w:t>
      </w:r>
      <w:r w:rsidRPr="00D8653E">
        <w:t xml:space="preserve"> El fondo común conduce al </w:t>
      </w:r>
      <w:r w:rsidR="0095213D">
        <w:t>despilfarro</w:t>
      </w:r>
      <w:r w:rsidRPr="00D8653E">
        <w:t xml:space="preserve"> de recursos </w:t>
      </w:r>
      <w:r w:rsidR="00CF0D2A">
        <w:t>pues</w:t>
      </w:r>
      <w:r w:rsidRPr="00D8653E">
        <w:t xml:space="preserve"> la valuación marginal del bien público (plaza pública, canal de irrigación, campaña de erradicación de una plaga) es inferior al valor de los recursos (personal, insumos) sacrificados en su producción.</w:t>
      </w:r>
    </w:p>
    <w:p w14:paraId="015AAC41" w14:textId="77777777" w:rsidR="00757904" w:rsidRPr="00D8653E" w:rsidRDefault="00757904" w:rsidP="00757904">
      <w:pPr>
        <w:pStyle w:val="Listaconvietas"/>
        <w:numPr>
          <w:ilvl w:val="0"/>
          <w:numId w:val="0"/>
        </w:numPr>
        <w:spacing w:line="360" w:lineRule="auto"/>
        <w:jc w:val="both"/>
      </w:pPr>
    </w:p>
    <w:p w14:paraId="0EDE55C4" w14:textId="74F46CE9" w:rsidR="00757904" w:rsidRPr="00D8653E" w:rsidRDefault="00757904" w:rsidP="00757904">
      <w:pPr>
        <w:pStyle w:val="Sangradetextonormal"/>
        <w:spacing w:line="360" w:lineRule="auto"/>
        <w:ind w:firstLine="0"/>
      </w:pPr>
      <w:r w:rsidRPr="00D8653E">
        <w:t xml:space="preserve">Este resultado es válido aun para una distribución de fondos estrictamente devolutiva (cada provincia recibe de la Nación el total o una fracción uniforme de lo que la segunda recauda </w:t>
      </w:r>
      <w:r w:rsidRPr="00D8653E">
        <w:lastRenderedPageBreak/>
        <w:t xml:space="preserve">en la primera). A mayor </w:t>
      </w:r>
      <w:r w:rsidRPr="00D8653E">
        <w:rPr>
          <w:position w:val="-6"/>
        </w:rPr>
        <w:object w:dxaOrig="240" w:dyaOrig="220" w14:anchorId="59A3C421">
          <v:shape id="_x0000_i1046" type="#_x0000_t75" style="width:12pt;height:11.4pt" o:ole="">
            <v:imagedata r:id="rId31" o:title=""/>
          </v:shape>
          <o:OLEObject Type="Embed" ProgID="Equation.3" ShapeID="_x0000_i1046" DrawAspect="Content" ObjectID="_1666538942" r:id="rId49"/>
        </w:object>
      </w:r>
      <w:r w:rsidRPr="00D8653E">
        <w:t>, mayor gasto local y mayor</w:t>
      </w:r>
      <w:r w:rsidR="0013559B">
        <w:t xml:space="preserve"> </w:t>
      </w:r>
      <w:r w:rsidRPr="00D8653E">
        <w:t xml:space="preserve">derroche de recursos. Con una distribución ‘redistributiva’ </w:t>
      </w:r>
      <w:r w:rsidRPr="00583A03">
        <w:t>se acentúa el derroche en las provincias pobres</w:t>
      </w:r>
      <w:r w:rsidR="00A961DE" w:rsidRPr="00583A03">
        <w:t xml:space="preserve">, pues </w:t>
      </w:r>
      <w:r w:rsidR="0094229A" w:rsidRPr="00583A03">
        <w:t xml:space="preserve">el monto de las transferencias nacionales </w:t>
      </w:r>
      <w:r w:rsidR="00A961DE" w:rsidRPr="00583A03">
        <w:t xml:space="preserve">que </w:t>
      </w:r>
      <w:r w:rsidR="0094229A" w:rsidRPr="00583A03">
        <w:t>recib</w:t>
      </w:r>
      <w:r w:rsidR="00A961DE" w:rsidRPr="00583A03">
        <w:t>en</w:t>
      </w:r>
      <w:r w:rsidR="0094229A" w:rsidRPr="00583A03">
        <w:t xml:space="preserve"> es mayor que el monto </w:t>
      </w:r>
      <w:r w:rsidR="00A961DE" w:rsidRPr="00583A03">
        <w:t xml:space="preserve">que la Nación </w:t>
      </w:r>
      <w:r w:rsidR="0094229A" w:rsidRPr="00583A03">
        <w:t xml:space="preserve">recauda </w:t>
      </w:r>
      <w:r w:rsidR="00A961DE" w:rsidRPr="00583A03">
        <w:t>en</w:t>
      </w:r>
      <w:r w:rsidR="0094229A" w:rsidRPr="00583A03">
        <w:t xml:space="preserve"> sus </w:t>
      </w:r>
      <w:r w:rsidR="00A961DE" w:rsidRPr="00583A03">
        <w:t>jurisdicciones</w:t>
      </w:r>
      <w:r w:rsidR="00D77810" w:rsidRPr="00583A03">
        <w:t>,</w:t>
      </w:r>
      <w:r w:rsidR="0094229A" w:rsidRPr="00583A03">
        <w:t xml:space="preserve"> y se atenúa </w:t>
      </w:r>
      <w:r w:rsidR="00FA3BAA" w:rsidRPr="00583A03">
        <w:t xml:space="preserve">por simetría </w:t>
      </w:r>
      <w:r w:rsidR="0094229A" w:rsidRPr="00583A03">
        <w:t>en l</w:t>
      </w:r>
      <w:r w:rsidRPr="00583A03">
        <w:t xml:space="preserve">as </w:t>
      </w:r>
      <w:r w:rsidR="0094229A" w:rsidRPr="00583A03">
        <w:t xml:space="preserve">provincias </w:t>
      </w:r>
      <w:r w:rsidRPr="00583A03">
        <w:t>ricas</w:t>
      </w:r>
      <w:r w:rsidR="0094229A" w:rsidRPr="00583A03">
        <w:t>.</w:t>
      </w:r>
    </w:p>
    <w:p w14:paraId="459A76E9" w14:textId="77777777" w:rsidR="00B06CE3" w:rsidRDefault="00B06CE3" w:rsidP="00B06CE3">
      <w:pPr>
        <w:pStyle w:val="Sangradetextonormal"/>
        <w:spacing w:line="360" w:lineRule="auto"/>
        <w:ind w:firstLine="0"/>
        <w:rPr>
          <w:szCs w:val="24"/>
        </w:rPr>
      </w:pPr>
    </w:p>
    <w:p w14:paraId="2C520BBE" w14:textId="51D0A644" w:rsidR="00DF73B1" w:rsidRDefault="00DF73B1" w:rsidP="00B06CE3">
      <w:pPr>
        <w:pStyle w:val="Sangradetextonormal"/>
        <w:spacing w:line="360" w:lineRule="auto"/>
        <w:ind w:firstLine="0"/>
        <w:rPr>
          <w:szCs w:val="24"/>
          <w:lang w:val="es-ES_tradnl"/>
        </w:rPr>
      </w:pPr>
      <w:r w:rsidRPr="00297A52">
        <w:rPr>
          <w:szCs w:val="24"/>
        </w:rPr>
        <w:t>El fondo común puede sobre-expandir el gasto local por otras causas. Porto (op. cit., 74-76) examina una de ellas: evaluación con criterio político de los beneficios de un programa de gasto o un proyecto de inversión</w:t>
      </w:r>
      <w:r w:rsidRPr="00297A52">
        <w:rPr>
          <w:szCs w:val="24"/>
          <w:lang w:val="es-ES_tradnl"/>
        </w:rPr>
        <w:t xml:space="preserve">. En este caso, el gasto público provincial aumentaría más allá del óptimo aun con </w:t>
      </w:r>
      <w:r w:rsidRPr="00297A52">
        <w:rPr>
          <w:position w:val="-10"/>
          <w:szCs w:val="24"/>
          <w:lang w:val="es-ES_tradnl"/>
        </w:rPr>
        <w:object w:dxaOrig="520" w:dyaOrig="320" w14:anchorId="3C8D6BFC">
          <v:shape id="_x0000_i1047" type="#_x0000_t75" style="width:26.4pt;height:16.2pt" o:ole="">
            <v:imagedata r:id="rId50" o:title=""/>
          </v:shape>
          <o:OLEObject Type="Embed" ProgID="Equation.3" ShapeID="_x0000_i1047" DrawAspect="Content" ObjectID="_1666538943" r:id="rId51"/>
        </w:object>
      </w:r>
      <w:r w:rsidRPr="00297A52">
        <w:rPr>
          <w:szCs w:val="24"/>
          <w:lang w:val="es-ES_tradnl"/>
        </w:rPr>
        <w:t>. Otra posible causa es que el coeficiente de distribución de fondos no sea una magnitud fija sino variable, en virtud de los salvatajes de la Nación (redescuentos especiales para el banco provincial, absorción de deudas provinciales) y los aportes discrecionales del Tesoro con fines varios. En este caso, el gasto público provincial aumentaría más allá del óptimo en razón de una restricción presupuestaria blanda.</w:t>
      </w:r>
    </w:p>
    <w:p w14:paraId="59CFE551" w14:textId="77777777" w:rsidR="00B06CE3" w:rsidRDefault="00B06CE3" w:rsidP="00B06CE3">
      <w:pPr>
        <w:pStyle w:val="Sangradetextonormal"/>
        <w:spacing w:line="360" w:lineRule="auto"/>
        <w:ind w:firstLine="0"/>
        <w:rPr>
          <w:szCs w:val="24"/>
          <w:lang w:val="es-ES_tradnl"/>
        </w:rPr>
      </w:pPr>
    </w:p>
    <w:p w14:paraId="62994220" w14:textId="179D2DF8" w:rsidR="00DF73B1" w:rsidRDefault="00DF73B1" w:rsidP="00B06CE3">
      <w:pPr>
        <w:pStyle w:val="Sangradetextonormal"/>
        <w:spacing w:line="360" w:lineRule="auto"/>
        <w:ind w:firstLine="0"/>
        <w:rPr>
          <w:szCs w:val="24"/>
          <w:lang w:val="es-ES_tradnl"/>
        </w:rPr>
      </w:pPr>
      <w:r w:rsidRPr="00297A52">
        <w:rPr>
          <w:szCs w:val="24"/>
          <w:lang w:val="es-ES_tradnl"/>
        </w:rPr>
        <w:t>A esta altura de la discusión se impone definir el concepto de ilusión fiscal, identificar sus causas y medir su impacto. Según Oates (1991c, 431), la ilusión fiscal se refiere a una “percepción sistemáticamente errada de parámetros fiscales de importancia clave que puede distorsionar en forma significativa las elecciones fiscales del electorado”. Hay varias causas posibles. Me concentraré en una: la complejidad de la estructura impositiva. Oates (ibíd., 435) cita una perceptiva reflexión de J. Buchanan que explica la cuestión con claridad: “En la medida en que la presión tributaria total sobre un individuo pueda fragmentarse de forma que enfrente numerosas cargas pequeñas en lugar de unas pocas grandes, pueden crearse efectos de ilusión.” Oates agrega que “según esta hipótesis, mientras más complicado es el sistema tributario, más difícil es para el contribuyente determinar el ‘precio impositivo’ del bien público y más probable resulta que subestime la carga tributaria asociada al programa público; todo lo demás constante, a mayor complejidad del sistema tributario, mayor es el gasto público”. A renglón seguido, Oates presenta evidencia econométrica de R. Wagner, sobre datos de 50 grandes ciudades de EEUU, que refuerza la conclusión anterior: a mayor visibilidad de los tributos, menor es el gasto público. El laberinto fiscal de la sección previa es una muestra de la complejidad del sistema tributario argentino.</w:t>
      </w:r>
    </w:p>
    <w:p w14:paraId="1BAFFE8E" w14:textId="77777777" w:rsidR="00B06CE3" w:rsidRDefault="00B06CE3" w:rsidP="00B06CE3">
      <w:pPr>
        <w:pStyle w:val="Sangradetextonormal"/>
        <w:spacing w:line="360" w:lineRule="auto"/>
        <w:ind w:firstLine="0"/>
        <w:rPr>
          <w:szCs w:val="24"/>
          <w:lang w:val="es-ES_tradnl"/>
        </w:rPr>
      </w:pPr>
    </w:p>
    <w:p w14:paraId="2C8AB81E" w14:textId="49C540FD" w:rsidR="00DF73B1" w:rsidRDefault="00DF73B1" w:rsidP="00B06CE3">
      <w:pPr>
        <w:pStyle w:val="Sangradetextonormal"/>
        <w:spacing w:line="360" w:lineRule="auto"/>
        <w:ind w:firstLine="0"/>
        <w:rPr>
          <w:szCs w:val="24"/>
          <w:lang w:val="es-ES_tradnl"/>
        </w:rPr>
      </w:pPr>
      <w:r w:rsidRPr="00297A52">
        <w:rPr>
          <w:szCs w:val="24"/>
          <w:lang w:val="es-ES_tradnl"/>
        </w:rPr>
        <w:lastRenderedPageBreak/>
        <w:t xml:space="preserve">Para </w:t>
      </w:r>
      <w:proofErr w:type="spellStart"/>
      <w:r w:rsidRPr="00297A52">
        <w:rPr>
          <w:szCs w:val="24"/>
          <w:lang w:val="es-ES_tradnl"/>
        </w:rPr>
        <w:t>Oates</w:t>
      </w:r>
      <w:proofErr w:type="spellEnd"/>
      <w:r w:rsidRPr="00297A52">
        <w:rPr>
          <w:szCs w:val="24"/>
          <w:lang w:val="es-ES_tradnl"/>
        </w:rPr>
        <w:t xml:space="preserve"> (1991c, 432) el efecto </w:t>
      </w:r>
      <w:r w:rsidRPr="00297A52">
        <w:rPr>
          <w:i/>
          <w:szCs w:val="24"/>
          <w:lang w:val="af-ZA"/>
        </w:rPr>
        <w:t>fly paper</w:t>
      </w:r>
      <w:r w:rsidRPr="00297A52">
        <w:rPr>
          <w:szCs w:val="24"/>
          <w:lang w:val="es-ES_tradnl"/>
        </w:rPr>
        <w:t xml:space="preserve"> (cazamoscas) es una forma o una fuente de ilusión fiscal. Como su razonamiento no me resulta claro, prefiero considerarlo un efecto, en vez de una fuente, de la ilusión fiscal. El efecto cazamoscas (la plata se queda pegada donde primero toca) dice que el aumento del gasto público local resultante de un aumento de las transferencias de la Nación por $1 es mayor que el aumento del gasto local resultante de un aumento del ingreso privado por $1. En otras palabras, cuando el gobierno local debe recaudar por su cuenta el gasto local aumenta en menor proporción que cuando recibe una transferencia nacional. Oates (ibíd., 443) señala que este efecto aparece en forma regular en estudios sobre transferencias intergubernamentales. </w:t>
      </w:r>
      <w:r w:rsidR="00D13EDC" w:rsidRPr="00297A52">
        <w:rPr>
          <w:szCs w:val="24"/>
          <w:lang w:val="es-ES_tradnl"/>
        </w:rPr>
        <w:t>Con base en estudios econométricos, a</w:t>
      </w:r>
      <w:r w:rsidRPr="00297A52">
        <w:rPr>
          <w:szCs w:val="24"/>
          <w:lang w:val="es-ES_tradnl"/>
        </w:rPr>
        <w:t>grega que</w:t>
      </w:r>
      <w:r w:rsidR="00D13EDC" w:rsidRPr="00297A52">
        <w:rPr>
          <w:szCs w:val="24"/>
          <w:lang w:val="es-ES_tradnl"/>
        </w:rPr>
        <w:t xml:space="preserve"> </w:t>
      </w:r>
      <w:r w:rsidRPr="00297A52">
        <w:rPr>
          <w:szCs w:val="24"/>
          <w:lang w:val="es-ES_tradnl"/>
        </w:rPr>
        <w:t>“los gobiernos locales gastan fracciones mucho más grandes (entre 40% y 50%) de las transferencias nacionales que del ingreso privado (</w:t>
      </w:r>
      <w:r w:rsidR="00D13EDC" w:rsidRPr="00297A52">
        <w:rPr>
          <w:szCs w:val="24"/>
          <w:lang w:val="es-ES_tradnl"/>
        </w:rPr>
        <w:t xml:space="preserve">cerca de </w:t>
      </w:r>
      <w:r w:rsidRPr="00297A52">
        <w:rPr>
          <w:szCs w:val="24"/>
          <w:lang w:val="es-ES_tradnl"/>
        </w:rPr>
        <w:t xml:space="preserve">un 10%). </w:t>
      </w:r>
      <w:r w:rsidR="003527A7" w:rsidRPr="00297A52">
        <w:rPr>
          <w:szCs w:val="24"/>
          <w:lang w:val="es-ES_tradnl"/>
        </w:rPr>
        <w:t xml:space="preserve">Por su parte, </w:t>
      </w:r>
      <w:r w:rsidRPr="00297A52">
        <w:rPr>
          <w:szCs w:val="24"/>
          <w:lang w:val="es-ES_tradnl"/>
        </w:rPr>
        <w:t xml:space="preserve">W. Niskanen </w:t>
      </w:r>
      <w:r w:rsidR="00D13EDC" w:rsidRPr="00297A52">
        <w:rPr>
          <w:szCs w:val="24"/>
          <w:lang w:val="es-ES_tradnl"/>
        </w:rPr>
        <w:t>destaca</w:t>
      </w:r>
      <w:r w:rsidRPr="00297A52">
        <w:rPr>
          <w:szCs w:val="24"/>
          <w:lang w:val="es-ES_tradnl"/>
        </w:rPr>
        <w:t xml:space="preserve"> que, </w:t>
      </w:r>
      <w:r w:rsidR="00D13EDC" w:rsidRPr="00297A52">
        <w:rPr>
          <w:szCs w:val="24"/>
          <w:lang w:val="es-ES_tradnl"/>
        </w:rPr>
        <w:t xml:space="preserve">de acuerdo con </w:t>
      </w:r>
      <w:r w:rsidRPr="00297A52">
        <w:rPr>
          <w:szCs w:val="24"/>
          <w:lang w:val="es-ES_tradnl"/>
        </w:rPr>
        <w:t>las mejores estimaciones disponibles (que atribuye a la Universidad de Michigan), la diferencia es más grande: la propensión marginal a gastar del fisco local a partir de una transferencia nacional es 80%-90%, mientras que la propensión marginal a gastar a partir del ingreso privado es 10%</w:t>
      </w:r>
      <w:r w:rsidR="003527A7" w:rsidRPr="00297A52">
        <w:rPr>
          <w:szCs w:val="24"/>
          <w:lang w:val="es-ES_tradnl"/>
        </w:rPr>
        <w:t xml:space="preserve"> (</w:t>
      </w:r>
      <w:r w:rsidR="003527A7" w:rsidRPr="00297A52">
        <w:rPr>
          <w:szCs w:val="24"/>
          <w:lang w:val="af-ZA"/>
        </w:rPr>
        <w:t>Musgrave</w:t>
      </w:r>
      <w:r w:rsidR="003527A7" w:rsidRPr="00297A52">
        <w:rPr>
          <w:szCs w:val="24"/>
          <w:lang w:val="es-ES_tradnl"/>
        </w:rPr>
        <w:t xml:space="preserve"> y Buchanan 1999, 194-195).</w:t>
      </w:r>
      <w:r w:rsidRPr="00297A52">
        <w:rPr>
          <w:szCs w:val="24"/>
          <w:lang w:val="es-ES_tradnl"/>
        </w:rPr>
        <w:t xml:space="preserve"> Dos recientes artículos sobre la experiencia argentina también concluyen que el fondo común aumenta el gasto público provincial (Baldrich 2008 y Jones, Meloni y Tommasi op. cit.).</w:t>
      </w:r>
    </w:p>
    <w:p w14:paraId="3EBFB0B6" w14:textId="77777777" w:rsidR="00B06CE3" w:rsidRDefault="00B06CE3" w:rsidP="00B06CE3">
      <w:pPr>
        <w:pStyle w:val="Sangradetextonormal"/>
        <w:spacing w:line="360" w:lineRule="auto"/>
        <w:ind w:firstLine="0"/>
        <w:rPr>
          <w:szCs w:val="24"/>
        </w:rPr>
      </w:pPr>
    </w:p>
    <w:p w14:paraId="60C61F5A" w14:textId="5AEB0564" w:rsidR="00DF73B1" w:rsidRDefault="00DF73B1" w:rsidP="00B06CE3">
      <w:pPr>
        <w:pStyle w:val="Sangradetextonormal"/>
        <w:spacing w:line="360" w:lineRule="auto"/>
        <w:ind w:firstLine="0"/>
        <w:rPr>
          <w:szCs w:val="24"/>
          <w:lang w:val="es-ES_tradnl"/>
        </w:rPr>
      </w:pPr>
      <w:r w:rsidRPr="00297A52">
        <w:rPr>
          <w:szCs w:val="24"/>
          <w:lang w:val="es-ES_tradnl"/>
        </w:rPr>
        <w:t xml:space="preserve">El modelo burocrático del sector público tiene por objeto interpretar el comportamiento del fisco. Está basado en tres supuestos: a) las preferencias de los funcionarios públicos no coinciden con las preferencias del público que vota y paga impuestos; b) la información se distribuye en forma asimétrica; los funcionarios conocen los beneficios y costos reales de los programas de gasto y engañan al público; c) no hay competencia política efectiva. Este último supuesto es de importancia crucial pues aun cuando los dos primeros se cumplieran, la efectiva competencia política eliminaría todo margen de despilfarro. Cualquier intento de ignorar el interés general con el objeto de satisfacer los intereses de los funcionarios, le dará al competidor político la oportunidad de ofrecer al electorado una alternativa más atractiva (Oates 1991a, 404-405). Una variante del modelo burocrático es el más reciente modelo del Leviatán (monstruo marino descripto en el libro de Job). Según esta variante, “el proceso político (…) no está efectivamente restringido por la competencia electoral” (Brennan y Buchanan 1980, 18). “Mientras la conducta de los políticos puede estar un poco restringida </w:t>
      </w:r>
      <w:r w:rsidRPr="00297A52">
        <w:rPr>
          <w:szCs w:val="24"/>
          <w:lang w:val="es-ES_tradnl"/>
        </w:rPr>
        <w:lastRenderedPageBreak/>
        <w:t>por la amenaza de derrota electoral, la de los burócratas no lo está. En rigor, por su misma naturaleza, los burócratas se comportan como oferentes monopólicos.” Ellos ofrecen a los políticos una clase específica de información y de servicios que es necesaria para diseñar e implementar políticas, en un contexto en el que no hay suministro competitivo de esa clase de servicio experto (ibíd., 29).</w:t>
      </w:r>
    </w:p>
    <w:p w14:paraId="74F4F706" w14:textId="77777777" w:rsidR="00B06CE3" w:rsidRDefault="00B06CE3" w:rsidP="00B06CE3">
      <w:pPr>
        <w:pStyle w:val="Sangradetextonormal"/>
        <w:spacing w:line="360" w:lineRule="auto"/>
        <w:ind w:firstLine="0"/>
        <w:rPr>
          <w:szCs w:val="24"/>
          <w:lang w:val="es-ES_tradnl"/>
        </w:rPr>
      </w:pPr>
    </w:p>
    <w:p w14:paraId="2BADB256" w14:textId="4C625F75" w:rsidR="00DF73B1" w:rsidRPr="00297A52" w:rsidRDefault="00DF73B1" w:rsidP="00B06CE3">
      <w:pPr>
        <w:pStyle w:val="Sangradetextonormal"/>
        <w:spacing w:line="360" w:lineRule="auto"/>
        <w:ind w:firstLine="0"/>
        <w:rPr>
          <w:szCs w:val="24"/>
          <w:lang w:val="es-ES_tradnl"/>
        </w:rPr>
      </w:pPr>
      <w:r w:rsidRPr="00297A52">
        <w:rPr>
          <w:szCs w:val="24"/>
          <w:lang w:val="es-ES_tradnl"/>
        </w:rPr>
        <w:t>El modelo del Leviatán pronostica así, sin apelar a la ilusión fiscal, que el gasto público (tanto nacional como provincial) se maximizará y que los recursos se derrocharán. También pronostica que las transferencias de la Nación se gastarán en vez de usárselas para financiar una rebaja de la pr</w:t>
      </w:r>
      <w:r w:rsidR="007722F4" w:rsidRPr="00297A52">
        <w:rPr>
          <w:szCs w:val="24"/>
          <w:lang w:val="es-ES_tradnl"/>
        </w:rPr>
        <w:t>esión tributaria local. Aunque la</w:t>
      </w:r>
      <w:r w:rsidRPr="00297A52">
        <w:rPr>
          <w:szCs w:val="24"/>
          <w:lang w:val="es-ES_tradnl"/>
        </w:rPr>
        <w:t xml:space="preserve"> historia fiscal de las provincias pobres </w:t>
      </w:r>
      <w:r w:rsidR="00805268" w:rsidRPr="00297A52">
        <w:rPr>
          <w:szCs w:val="24"/>
          <w:lang w:val="es-ES_tradnl"/>
        </w:rPr>
        <w:t>de A</w:t>
      </w:r>
      <w:r w:rsidR="007722F4" w:rsidRPr="00297A52">
        <w:rPr>
          <w:szCs w:val="24"/>
          <w:lang w:val="es-ES_tradnl"/>
        </w:rPr>
        <w:t xml:space="preserve">rgentina </w:t>
      </w:r>
      <w:r w:rsidRPr="00297A52">
        <w:rPr>
          <w:szCs w:val="24"/>
          <w:lang w:val="es-ES_tradnl"/>
        </w:rPr>
        <w:t>no parece c</w:t>
      </w:r>
      <w:r w:rsidR="007722F4" w:rsidRPr="00297A52">
        <w:rPr>
          <w:szCs w:val="24"/>
          <w:lang w:val="es-ES_tradnl"/>
        </w:rPr>
        <w:t>orroborar el último pronóstico: el gasto público per cápita e</w:t>
      </w:r>
      <w:r w:rsidR="00934AB5" w:rsidRPr="00297A52">
        <w:rPr>
          <w:szCs w:val="24"/>
          <w:lang w:val="es-ES_tradnl"/>
        </w:rPr>
        <w:t>s más alto e</w:t>
      </w:r>
      <w:r w:rsidR="007722F4" w:rsidRPr="00297A52">
        <w:rPr>
          <w:szCs w:val="24"/>
          <w:lang w:val="es-ES_tradnl"/>
        </w:rPr>
        <w:t xml:space="preserve">n las </w:t>
      </w:r>
      <w:r w:rsidR="00251594" w:rsidRPr="00297A52">
        <w:rPr>
          <w:szCs w:val="24"/>
          <w:lang w:val="es-ES_tradnl"/>
        </w:rPr>
        <w:t xml:space="preserve">provincias </w:t>
      </w:r>
      <w:r w:rsidR="007722F4" w:rsidRPr="00297A52">
        <w:rPr>
          <w:szCs w:val="24"/>
          <w:lang w:val="es-ES_tradnl"/>
        </w:rPr>
        <w:t xml:space="preserve">pobres </w:t>
      </w:r>
      <w:r w:rsidR="00934AB5" w:rsidRPr="00297A52">
        <w:rPr>
          <w:szCs w:val="24"/>
          <w:lang w:val="es-ES_tradnl"/>
        </w:rPr>
        <w:t xml:space="preserve">que </w:t>
      </w:r>
      <w:r w:rsidR="00C87407" w:rsidRPr="00297A52">
        <w:rPr>
          <w:szCs w:val="24"/>
          <w:lang w:val="es-ES_tradnl"/>
        </w:rPr>
        <w:t>en las ricas pero</w:t>
      </w:r>
      <w:r w:rsidR="00BA0392" w:rsidRPr="00297A52">
        <w:rPr>
          <w:szCs w:val="24"/>
          <w:lang w:val="es-ES_tradnl"/>
        </w:rPr>
        <w:t xml:space="preserve"> </w:t>
      </w:r>
      <w:r w:rsidR="007722F4" w:rsidRPr="00297A52">
        <w:rPr>
          <w:szCs w:val="24"/>
          <w:lang w:val="es-ES_tradnl"/>
        </w:rPr>
        <w:t xml:space="preserve">la recaudación propia per cápita </w:t>
      </w:r>
      <w:r w:rsidR="00934AB5" w:rsidRPr="00297A52">
        <w:rPr>
          <w:szCs w:val="24"/>
          <w:lang w:val="es-ES_tradnl"/>
        </w:rPr>
        <w:t xml:space="preserve">es menor </w:t>
      </w:r>
      <w:r w:rsidR="007722F4" w:rsidRPr="00297A52">
        <w:rPr>
          <w:szCs w:val="24"/>
          <w:lang w:val="es-ES_tradnl"/>
        </w:rPr>
        <w:t xml:space="preserve">en las </w:t>
      </w:r>
      <w:r w:rsidR="00BA0392" w:rsidRPr="00297A52">
        <w:rPr>
          <w:szCs w:val="24"/>
          <w:lang w:val="es-ES_tradnl"/>
        </w:rPr>
        <w:t>pobres</w:t>
      </w:r>
      <w:r w:rsidR="007722F4" w:rsidRPr="00297A52">
        <w:rPr>
          <w:szCs w:val="24"/>
          <w:lang w:val="es-ES_tradnl"/>
        </w:rPr>
        <w:t xml:space="preserve"> que en las </w:t>
      </w:r>
      <w:r w:rsidR="00BA0392" w:rsidRPr="00297A52">
        <w:rPr>
          <w:szCs w:val="24"/>
          <w:lang w:val="es-ES_tradnl"/>
        </w:rPr>
        <w:t>ricas</w:t>
      </w:r>
      <w:r w:rsidR="007722F4" w:rsidRPr="00297A52">
        <w:rPr>
          <w:szCs w:val="24"/>
          <w:lang w:val="es-ES_tradnl"/>
        </w:rPr>
        <w:t xml:space="preserve">. </w:t>
      </w:r>
      <w:r w:rsidRPr="00297A52">
        <w:rPr>
          <w:szCs w:val="24"/>
          <w:lang w:val="es-ES_tradnl"/>
        </w:rPr>
        <w:t xml:space="preserve">Con datos de la década de 2000, Baldrich (op. cit.) </w:t>
      </w:r>
      <w:r w:rsidR="00981712" w:rsidRPr="00297A52">
        <w:rPr>
          <w:szCs w:val="24"/>
          <w:lang w:val="es-ES_tradnl"/>
        </w:rPr>
        <w:t>explica</w:t>
      </w:r>
      <w:r w:rsidR="00251594" w:rsidRPr="00297A52">
        <w:rPr>
          <w:szCs w:val="24"/>
          <w:lang w:val="es-ES_tradnl"/>
        </w:rPr>
        <w:t xml:space="preserve"> la relativamente baja </w:t>
      </w:r>
      <w:r w:rsidRPr="00297A52">
        <w:rPr>
          <w:szCs w:val="24"/>
          <w:lang w:val="es-ES_tradnl"/>
        </w:rPr>
        <w:t xml:space="preserve">recaudación propia (ingresos brutos, inmobiliario, sellos, automotor) </w:t>
      </w:r>
      <w:r w:rsidR="00C87407" w:rsidRPr="00297A52">
        <w:rPr>
          <w:szCs w:val="24"/>
          <w:lang w:val="es-ES_tradnl"/>
        </w:rPr>
        <w:t xml:space="preserve">de </w:t>
      </w:r>
      <w:r w:rsidRPr="00297A52">
        <w:rPr>
          <w:szCs w:val="24"/>
          <w:lang w:val="es-ES_tradnl"/>
        </w:rPr>
        <w:t xml:space="preserve">las provincias pobres </w:t>
      </w:r>
      <w:r w:rsidR="00251594" w:rsidRPr="00297A52">
        <w:rPr>
          <w:szCs w:val="24"/>
          <w:lang w:val="es-ES_tradnl"/>
        </w:rPr>
        <w:t xml:space="preserve">en </w:t>
      </w:r>
      <w:r w:rsidR="00C87407" w:rsidRPr="00297A52">
        <w:rPr>
          <w:szCs w:val="24"/>
          <w:lang w:val="es-ES_tradnl"/>
        </w:rPr>
        <w:t>virtud</w:t>
      </w:r>
      <w:r w:rsidR="00251594" w:rsidRPr="00297A52">
        <w:rPr>
          <w:szCs w:val="24"/>
          <w:lang w:val="es-ES_tradnl"/>
        </w:rPr>
        <w:t xml:space="preserve"> de</w:t>
      </w:r>
      <w:r w:rsidRPr="00297A52">
        <w:rPr>
          <w:szCs w:val="24"/>
          <w:lang w:val="es-ES_tradnl"/>
        </w:rPr>
        <w:t xml:space="preserve"> la </w:t>
      </w:r>
      <w:r w:rsidR="00C87407" w:rsidRPr="00297A52">
        <w:rPr>
          <w:szCs w:val="24"/>
          <w:lang w:val="es-ES_tradnl"/>
        </w:rPr>
        <w:t>proximidad</w:t>
      </w:r>
      <w:r w:rsidRPr="00297A52">
        <w:rPr>
          <w:szCs w:val="24"/>
          <w:lang w:val="es-ES_tradnl"/>
        </w:rPr>
        <w:t xml:space="preserve"> de sus go</w:t>
      </w:r>
      <w:r w:rsidR="00251594" w:rsidRPr="00297A52">
        <w:rPr>
          <w:szCs w:val="24"/>
          <w:lang w:val="es-ES_tradnl"/>
        </w:rPr>
        <w:t>b</w:t>
      </w:r>
      <w:r w:rsidR="00C87407" w:rsidRPr="00297A52">
        <w:rPr>
          <w:szCs w:val="24"/>
          <w:lang w:val="es-ES_tradnl"/>
        </w:rPr>
        <w:t>ernante</w:t>
      </w:r>
      <w:r w:rsidR="00251594" w:rsidRPr="00297A52">
        <w:rPr>
          <w:szCs w:val="24"/>
          <w:lang w:val="es-ES_tradnl"/>
        </w:rPr>
        <w:t>s a las elites locales y e</w:t>
      </w:r>
      <w:r w:rsidRPr="00297A52">
        <w:rPr>
          <w:szCs w:val="24"/>
          <w:lang w:val="es-ES_tradnl"/>
        </w:rPr>
        <w:t xml:space="preserve">l </w:t>
      </w:r>
      <w:r w:rsidR="00251594" w:rsidRPr="00297A52">
        <w:rPr>
          <w:szCs w:val="24"/>
          <w:lang w:val="es-ES_tradnl"/>
        </w:rPr>
        <w:t>pequeño</w:t>
      </w:r>
      <w:r w:rsidRPr="00297A52">
        <w:rPr>
          <w:szCs w:val="24"/>
          <w:lang w:val="es-ES_tradnl"/>
        </w:rPr>
        <w:t xml:space="preserve"> tamaño de los mercados p</w:t>
      </w:r>
      <w:r w:rsidR="00251594" w:rsidRPr="00297A52">
        <w:rPr>
          <w:szCs w:val="24"/>
          <w:lang w:val="es-ES_tradnl"/>
        </w:rPr>
        <w:t>rovinciales.</w:t>
      </w:r>
    </w:p>
    <w:p w14:paraId="419F63A2" w14:textId="77777777" w:rsidR="00DF73B1" w:rsidRPr="00297A52" w:rsidRDefault="00DF73B1" w:rsidP="00297A52">
      <w:pPr>
        <w:pStyle w:val="Listaconvietas"/>
        <w:numPr>
          <w:ilvl w:val="0"/>
          <w:numId w:val="0"/>
        </w:numPr>
        <w:spacing w:line="360" w:lineRule="auto"/>
      </w:pPr>
    </w:p>
    <w:p w14:paraId="1ABE2841" w14:textId="77777777" w:rsidR="00DF73B1" w:rsidRPr="001A5299" w:rsidRDefault="00DF73B1" w:rsidP="00297A52">
      <w:pPr>
        <w:pStyle w:val="Listaconvietas"/>
        <w:numPr>
          <w:ilvl w:val="0"/>
          <w:numId w:val="0"/>
        </w:numPr>
        <w:spacing w:line="360" w:lineRule="auto"/>
        <w:rPr>
          <w:b/>
          <w:bCs/>
        </w:rPr>
      </w:pPr>
      <w:r w:rsidRPr="00B06CE3">
        <w:rPr>
          <w:b/>
          <w:bCs/>
        </w:rPr>
        <w:t xml:space="preserve">III. </w:t>
      </w:r>
      <w:r w:rsidRPr="001A5299">
        <w:rPr>
          <w:b/>
          <w:bCs/>
        </w:rPr>
        <w:t>El problema político-institucional</w:t>
      </w:r>
    </w:p>
    <w:p w14:paraId="0C1AF665" w14:textId="77777777" w:rsidR="00DF73B1" w:rsidRPr="00297A52" w:rsidRDefault="00DF73B1" w:rsidP="00297A52">
      <w:pPr>
        <w:pStyle w:val="Listaconvietas"/>
        <w:numPr>
          <w:ilvl w:val="0"/>
          <w:numId w:val="0"/>
        </w:numPr>
        <w:spacing w:line="360" w:lineRule="auto"/>
      </w:pPr>
    </w:p>
    <w:p w14:paraId="016B3DB0" w14:textId="74B5941E" w:rsidR="00DF73B1" w:rsidRDefault="00DF73B1" w:rsidP="00297A52">
      <w:pPr>
        <w:pStyle w:val="Listaconvietas"/>
        <w:numPr>
          <w:ilvl w:val="0"/>
          <w:numId w:val="0"/>
        </w:numPr>
        <w:spacing w:line="360" w:lineRule="auto"/>
        <w:jc w:val="both"/>
      </w:pPr>
      <w:r w:rsidRPr="00297A52">
        <w:t>Según el modelo neoclásico del sector público, el fondo común se crea con tres objetivos en mente: a) redistribuir con equidad el ingreso nacional entre las provincias; b) aprovechar economías de escala en la recaudación tributaria; c) internalizar derrames a otras provincias de los beneficios de un bien público producido en una provincia. Conforme a la experiencia argentina, el objetivo de más peso sería el primero. Musgrave afirma que “si la distribución del ingreso fuera vista en términos nacionales, como algo que involucra a toda la población del país, la política de redistribución para alcanzar el estado ideal debe quedar a cargo de la Nación” (Musgrave y Buchanan 1999, 160). Según esta línea de pensamiento, el gobierno nacional tendría que recaudar y transferir recursos a las provincias, girando un poco más a las pobres y un poco menos a las ricas.</w:t>
      </w:r>
    </w:p>
    <w:p w14:paraId="3460325A" w14:textId="77777777" w:rsidR="00B06CE3" w:rsidRDefault="00B06CE3" w:rsidP="00B06CE3">
      <w:pPr>
        <w:pStyle w:val="Listaconvietas"/>
        <w:numPr>
          <w:ilvl w:val="0"/>
          <w:numId w:val="0"/>
        </w:numPr>
        <w:spacing w:line="360" w:lineRule="auto"/>
        <w:jc w:val="both"/>
      </w:pPr>
    </w:p>
    <w:p w14:paraId="0A2A36DF" w14:textId="69787F8F" w:rsidR="00DF73B1" w:rsidRDefault="00DF73B1" w:rsidP="00B06CE3">
      <w:pPr>
        <w:pStyle w:val="Listaconvietas"/>
        <w:numPr>
          <w:ilvl w:val="0"/>
          <w:numId w:val="0"/>
        </w:numPr>
        <w:spacing w:line="360" w:lineRule="auto"/>
        <w:jc w:val="both"/>
      </w:pPr>
      <w:r w:rsidRPr="00297A52">
        <w:lastRenderedPageBreak/>
        <w:t>Ahora bien, mientras el objetivo redistributivo es de naturaleza moral, los dos objetivos restantes tienen justificación estrictamente económica. En primer término, hay evidencia de que el costo de recolectar tributos del organismo recaudador nacional es menor que el costo del organismo provincial medio. El costo de liquidación, fiscalización y percepción de ingresos de la AFIP era 1.7% de la recaudación total a fines de la década de 1990 (CEA 2000, 56), en tanto que el de una dirección provincial de rentas promedio ascendía al doble de ese porcentaje. Luego, esta observación llevaría a concentrar la recaudación en manos la Nación. En segundo término, la conveniencia de internalizar derrames entre provincias para que la cantidad ofrecida del bien público resulte óptima, haría aconsejable que la Nación se encargara de canalizar transferencias compensatorias desde las provincias que se benefician hacia las que costean su producción (universidades u hospitales de alta complejidad). Sin explicitarlo, el modelo neoclásico de federalismo fiscal supone que el gobierno nacional tiene como norte exclusivo satisfacer el interés general.</w:t>
      </w:r>
    </w:p>
    <w:p w14:paraId="3BFDB3A4" w14:textId="77777777" w:rsidR="00B06CE3" w:rsidRDefault="00B06CE3" w:rsidP="00B06CE3">
      <w:pPr>
        <w:pStyle w:val="Listaconvietas"/>
        <w:numPr>
          <w:ilvl w:val="0"/>
          <w:numId w:val="0"/>
        </w:numPr>
        <w:spacing w:line="360" w:lineRule="auto"/>
        <w:jc w:val="both"/>
      </w:pPr>
    </w:p>
    <w:p w14:paraId="1087C9C1" w14:textId="0EE16DC0" w:rsidR="00DF73B1" w:rsidRDefault="00DF73B1" w:rsidP="00B06CE3">
      <w:pPr>
        <w:pStyle w:val="Listaconvietas"/>
        <w:numPr>
          <w:ilvl w:val="0"/>
          <w:numId w:val="0"/>
        </w:numPr>
        <w:spacing w:line="360" w:lineRule="auto"/>
        <w:jc w:val="both"/>
      </w:pPr>
      <w:r w:rsidRPr="00297A52">
        <w:t xml:space="preserve">Hay una pregunta para la que dicho modelo no tiene respuesta: ¿por qué </w:t>
      </w:r>
      <w:r w:rsidR="00BB5C13" w:rsidRPr="00297A52">
        <w:t>motivo</w:t>
      </w:r>
      <w:r w:rsidRPr="00297A52">
        <w:t xml:space="preserve">, a pesar de la cesión de potestades tributarias que demanda y de la dependencia financiera y política que origina, los gobernadores son reacios al abandono del fondo común? Para Porto (1990, </w:t>
      </w:r>
      <w:r w:rsidRPr="00297A52">
        <w:rPr>
          <w:lang w:val="af-ZA"/>
        </w:rPr>
        <w:t>xvi</w:t>
      </w:r>
      <w:r w:rsidRPr="00297A52">
        <w:t xml:space="preserve">) resulta llamativa “la escasa atención que prestan los gobiernos provinciales a la descentralización tributaria, aun por parte de aquellos que pierden con la redistribución”. En presentaciones ante gobernadores de la propuesta de descentralización impositiva (CEA 2000), tuve la misma impresión que Porto. Con dos excepciones: el </w:t>
      </w:r>
      <w:r w:rsidR="00131C04" w:rsidRPr="00297A52">
        <w:t>ex gobernador de Salta</w:t>
      </w:r>
      <w:r w:rsidRPr="00297A52">
        <w:t xml:space="preserve"> J. C. Romero, que mandó a redactar un proyecto de ley con una ambiciosa devolución de facultades tributarias, y el </w:t>
      </w:r>
      <w:r w:rsidR="00131C04" w:rsidRPr="00297A52">
        <w:t>ex intendente</w:t>
      </w:r>
      <w:r w:rsidRPr="00297A52">
        <w:t xml:space="preserve"> de San Miguel, partido de la provincia de Buenos Aires, A. Rico, que se convirtió en un tenaz defensor público de la iniciativa.</w:t>
      </w:r>
    </w:p>
    <w:p w14:paraId="163137A6" w14:textId="77777777" w:rsidR="00B06CE3" w:rsidRDefault="00B06CE3" w:rsidP="00B06CE3">
      <w:pPr>
        <w:pStyle w:val="Listaconvietas"/>
        <w:numPr>
          <w:ilvl w:val="0"/>
          <w:numId w:val="0"/>
        </w:numPr>
        <w:spacing w:line="360" w:lineRule="auto"/>
        <w:jc w:val="both"/>
      </w:pPr>
    </w:p>
    <w:p w14:paraId="4453ADB1" w14:textId="79308736" w:rsidR="00DF73B1" w:rsidRDefault="00DF73B1" w:rsidP="00B06CE3">
      <w:pPr>
        <w:pStyle w:val="Listaconvietas"/>
        <w:numPr>
          <w:ilvl w:val="0"/>
          <w:numId w:val="0"/>
        </w:numPr>
        <w:spacing w:line="360" w:lineRule="auto"/>
        <w:jc w:val="both"/>
      </w:pPr>
      <w:r w:rsidRPr="00297A52">
        <w:t xml:space="preserve">El modelo del Leviatán echa luz sobre este llamativo hecho y sobre otros interrogantes menores. Oates (1991a, 404) lo define con estas palabras: “Por medio de una analogía con la teoría tradicional del monopolio, (Brennan y Buchanan) imaginan al sector público como un único agente monolítico que trata de explotar de manera sistemática a sus ciudadanos, maximizando la recaudación de impuestos que extrae de la economía. Sujeto a normas </w:t>
      </w:r>
      <w:r w:rsidRPr="00297A52">
        <w:lastRenderedPageBreak/>
        <w:t>constitucionales y de otro tipo que restringen su comportamiento, el Leviatán diseña sus políticas fiscales con un solo objetivo en mente: maximizar la recaudación.”</w:t>
      </w:r>
    </w:p>
    <w:p w14:paraId="656B80E5" w14:textId="77777777" w:rsidR="00B06CE3" w:rsidRDefault="00B06CE3" w:rsidP="00B06CE3">
      <w:pPr>
        <w:pStyle w:val="Listaconvietas"/>
        <w:numPr>
          <w:ilvl w:val="0"/>
          <w:numId w:val="0"/>
        </w:numPr>
        <w:spacing w:line="360" w:lineRule="auto"/>
        <w:ind w:left="360" w:hanging="360"/>
        <w:jc w:val="both"/>
      </w:pPr>
    </w:p>
    <w:p w14:paraId="593B46D0" w14:textId="43CE8906" w:rsidR="00DF73B1" w:rsidRPr="00297A52" w:rsidRDefault="00DF73B1" w:rsidP="00B06CE3">
      <w:pPr>
        <w:pStyle w:val="Listaconvietas"/>
        <w:numPr>
          <w:ilvl w:val="0"/>
          <w:numId w:val="0"/>
        </w:numPr>
        <w:spacing w:line="360" w:lineRule="auto"/>
        <w:ind w:left="360" w:hanging="360"/>
        <w:jc w:val="both"/>
      </w:pPr>
      <w:r w:rsidRPr="00297A52">
        <w:t>El modelo del Leviatán genera interesantes pronósticos. Por ejemplo:</w:t>
      </w:r>
    </w:p>
    <w:p w14:paraId="5218841C" w14:textId="683CC999" w:rsidR="00DF73B1" w:rsidRDefault="00DF73B1" w:rsidP="00297A52">
      <w:pPr>
        <w:pStyle w:val="Listaconvietas"/>
        <w:numPr>
          <w:ilvl w:val="0"/>
          <w:numId w:val="0"/>
        </w:numPr>
        <w:spacing w:line="360" w:lineRule="auto"/>
        <w:ind w:firstLine="360"/>
        <w:jc w:val="both"/>
      </w:pPr>
      <w:r w:rsidRPr="00297A52">
        <w:t>a) Dentro de una estructura constitucional federal habrá constantes presiones de las provincias para lograr arreglos institucionales que moderen la competencia interprovincial. Un arreglo obvio será establecer un sistema tributario uniforme para todas las provincias. El cuerpo lógico para la administración del acuerdo será el gobierno nacional, quien, a cambio de una apropiada participación en el aumento de la recaudación, hará cumplir el acuerdo entre las provincias.</w:t>
      </w:r>
    </w:p>
    <w:p w14:paraId="7F0EEECF" w14:textId="77777777" w:rsidR="00B06CE3" w:rsidRPr="00297A52" w:rsidRDefault="00B06CE3" w:rsidP="00297A52">
      <w:pPr>
        <w:pStyle w:val="Listaconvietas"/>
        <w:numPr>
          <w:ilvl w:val="0"/>
          <w:numId w:val="0"/>
        </w:numPr>
        <w:spacing w:line="360" w:lineRule="auto"/>
        <w:ind w:firstLine="360"/>
        <w:jc w:val="both"/>
      </w:pPr>
    </w:p>
    <w:p w14:paraId="11910B41" w14:textId="01DA3717" w:rsidR="00DF73B1" w:rsidRDefault="00DF73B1" w:rsidP="00297A52">
      <w:pPr>
        <w:pStyle w:val="Listaconvietas"/>
        <w:numPr>
          <w:ilvl w:val="0"/>
          <w:numId w:val="0"/>
        </w:numPr>
        <w:spacing w:line="360" w:lineRule="auto"/>
        <w:ind w:firstLine="360"/>
        <w:jc w:val="both"/>
      </w:pPr>
      <w:r w:rsidRPr="00297A52">
        <w:t>b) Después de que las provincias transfieran las potestades tributarias a la Nación, habrá una distribución proporcional (con criterio devolutivo) de la recaudación a las provincias en general y algunas transferencias especiales a provincias específicas.</w:t>
      </w:r>
    </w:p>
    <w:p w14:paraId="2B800E07" w14:textId="77777777" w:rsidR="00B06CE3" w:rsidRPr="00297A52" w:rsidRDefault="00B06CE3" w:rsidP="00297A52">
      <w:pPr>
        <w:pStyle w:val="Listaconvietas"/>
        <w:numPr>
          <w:ilvl w:val="0"/>
          <w:numId w:val="0"/>
        </w:numPr>
        <w:spacing w:line="360" w:lineRule="auto"/>
        <w:ind w:firstLine="360"/>
        <w:jc w:val="both"/>
      </w:pPr>
    </w:p>
    <w:p w14:paraId="0469715E" w14:textId="2C30607C" w:rsidR="00DF73B1" w:rsidRDefault="00DF73B1" w:rsidP="00297A52">
      <w:pPr>
        <w:pStyle w:val="Listaconvietas"/>
        <w:numPr>
          <w:ilvl w:val="0"/>
          <w:numId w:val="0"/>
        </w:numPr>
        <w:spacing w:line="360" w:lineRule="auto"/>
        <w:ind w:firstLine="360"/>
        <w:jc w:val="both"/>
      </w:pPr>
      <w:r w:rsidRPr="00297A52">
        <w:t>c) Puesto que cualquier provincia podría violar el acuerdo de colusión con exenciones para atraer inversiones, alguna parte de la recaudación extra del cartel será compartida en proporción más bien igualitaria. De esta forma, las provincias pequeñas y pobres obtendrán mayores fondos per cápita que las provincias grandes y ricas. (Brennan y Buchanan 1980, 212-213.)</w:t>
      </w:r>
    </w:p>
    <w:p w14:paraId="0C24FBBD" w14:textId="77777777" w:rsidR="00B06CE3" w:rsidRDefault="00B06CE3" w:rsidP="00B06CE3">
      <w:pPr>
        <w:pStyle w:val="Listaconvietas"/>
        <w:numPr>
          <w:ilvl w:val="0"/>
          <w:numId w:val="0"/>
        </w:numPr>
        <w:spacing w:line="360" w:lineRule="auto"/>
        <w:jc w:val="both"/>
      </w:pPr>
    </w:p>
    <w:p w14:paraId="5C2ED1D4" w14:textId="6AA6DD83" w:rsidR="00DF73B1" w:rsidRDefault="00DF73B1" w:rsidP="00B06CE3">
      <w:pPr>
        <w:pStyle w:val="Listaconvietas"/>
        <w:numPr>
          <w:ilvl w:val="0"/>
          <w:numId w:val="0"/>
        </w:numPr>
        <w:spacing w:line="360" w:lineRule="auto"/>
        <w:jc w:val="both"/>
      </w:pPr>
      <w:r w:rsidRPr="00297A52">
        <w:t xml:space="preserve">En dos palabras, el modelo del Leviatán aplicado al federalismo fiscal supone que la corporación política, compuesta fundamentalmente por los gobernadores, tiene incentivos claros para cartelizarse y suprimir la competencia impositiva. El propósito del monopolio es aumentar la recaudación y el gasto público y así maximizar el poder de los gobernadores. La Nación es la encargada de recaudar, repartir y hacer que se cumplan las reglas internas del cartel. Las provincias ricas, de grandes bases imponibles, reciben alta coparticipación, y las provincias pobres, que tienen pequeñas bases imponibles, reciben baja coparticipación. A las provincias petroleras se les reconocen regalías. A las provincias poco importantes, se les conceden refuerzos especiales para evitar que rompan el cartel. Tenemos de esta manera una sugestiva teoría del régimen de coparticipación. Explica convincentemente la reticencia de </w:t>
      </w:r>
      <w:r w:rsidRPr="00297A52">
        <w:lastRenderedPageBreak/>
        <w:t>los gobernadores a abandonarlo y algunas anomalías en la redistribución de fondos, y ofrece una interpretación realista del acuerdo político detrás del fondo común.</w:t>
      </w:r>
    </w:p>
    <w:p w14:paraId="154FF013" w14:textId="77777777" w:rsidR="00B06CE3" w:rsidRDefault="00B06CE3" w:rsidP="00B06CE3">
      <w:pPr>
        <w:pStyle w:val="Listaconvietas"/>
        <w:numPr>
          <w:ilvl w:val="0"/>
          <w:numId w:val="0"/>
        </w:numPr>
        <w:spacing w:line="360" w:lineRule="auto"/>
        <w:jc w:val="both"/>
        <w:rPr>
          <w:color w:val="993366"/>
        </w:rPr>
      </w:pPr>
    </w:p>
    <w:p w14:paraId="0B349214" w14:textId="54E5F760" w:rsidR="00DF73B1" w:rsidRPr="00297A52" w:rsidRDefault="00DF73B1" w:rsidP="00B06CE3">
      <w:pPr>
        <w:pStyle w:val="Listaconvietas"/>
        <w:numPr>
          <w:ilvl w:val="0"/>
          <w:numId w:val="0"/>
        </w:numPr>
        <w:spacing w:line="360" w:lineRule="auto"/>
        <w:jc w:val="both"/>
      </w:pPr>
      <w:r w:rsidRPr="00297A52">
        <w:t xml:space="preserve">A modo de conclusión, Brennan y Buchanan formulan esta hipótesis: “manteniéndose todo lo demás constante, la intervención total en la economía debería ser menor mientras mayor sea la descentralización del gasto y la recaudación, más pequeñas las jurisdicciones, más homogéneas las preferencias residenciales y menores las rentas netas de localización” (ibíd., 216). Gran cantidad de investigaciones econométricas trataron de probar o refutar la hipótesis. Oates (1991b, 427 y 429) informa tentativamente que investigaciones como la de </w:t>
      </w:r>
      <w:r w:rsidRPr="00297A52">
        <w:rPr>
          <w:lang w:val="af-ZA"/>
        </w:rPr>
        <w:t>Zax</w:t>
      </w:r>
      <w:r w:rsidRPr="00297A52">
        <w:t xml:space="preserve"> y la de </w:t>
      </w:r>
      <w:r w:rsidRPr="00297A52">
        <w:rPr>
          <w:lang w:val="af-ZA"/>
        </w:rPr>
        <w:t>Eberts y Gronberg</w:t>
      </w:r>
      <w:r w:rsidRPr="00297A52">
        <w:t xml:space="preserve"> sugieren que la hipótesis se cumple. También informa que </w:t>
      </w:r>
      <w:r w:rsidR="0070301C" w:rsidRPr="00297A52">
        <w:t xml:space="preserve">el </w:t>
      </w:r>
      <w:r w:rsidRPr="00297A52">
        <w:t xml:space="preserve">estudio </w:t>
      </w:r>
      <w:r w:rsidR="00F63EC5" w:rsidRPr="00297A52">
        <w:t xml:space="preserve">de </w:t>
      </w:r>
      <w:r w:rsidR="00F63EC5" w:rsidRPr="00297A52">
        <w:rPr>
          <w:lang w:val="af-ZA"/>
        </w:rPr>
        <w:t>Eberts y Gronberg</w:t>
      </w:r>
      <w:r w:rsidR="00F63EC5" w:rsidRPr="00297A52">
        <w:t xml:space="preserve"> </w:t>
      </w:r>
      <w:r w:rsidRPr="00297A52">
        <w:t>demuestra que “el efecto de la fragmentación es más evidente a nivel local que a nivel estadual, un hallazgo que es consistente con la importancia de la movilidad como fuerza restrictiva del tamaño del gobierno”.</w:t>
      </w:r>
    </w:p>
    <w:p w14:paraId="7AD4B77E" w14:textId="77777777" w:rsidR="00DF73B1" w:rsidRPr="00B06CE3" w:rsidRDefault="00DF73B1" w:rsidP="00297A52">
      <w:pPr>
        <w:pStyle w:val="Listaconvietas"/>
        <w:numPr>
          <w:ilvl w:val="0"/>
          <w:numId w:val="0"/>
        </w:numPr>
        <w:spacing w:line="360" w:lineRule="auto"/>
        <w:ind w:left="360" w:hanging="360"/>
        <w:jc w:val="both"/>
        <w:rPr>
          <w:b/>
          <w:bCs/>
        </w:rPr>
      </w:pPr>
    </w:p>
    <w:p w14:paraId="4D905FBF" w14:textId="77777777" w:rsidR="00DF73B1" w:rsidRPr="00B06CE3" w:rsidRDefault="00DF73B1" w:rsidP="00297A52">
      <w:pPr>
        <w:pStyle w:val="Listaconvietas"/>
        <w:numPr>
          <w:ilvl w:val="0"/>
          <w:numId w:val="0"/>
        </w:numPr>
        <w:spacing w:line="360" w:lineRule="auto"/>
        <w:ind w:left="360" w:hanging="360"/>
        <w:jc w:val="both"/>
        <w:rPr>
          <w:b/>
          <w:bCs/>
          <w:u w:val="single"/>
        </w:rPr>
      </w:pPr>
      <w:r w:rsidRPr="00B06CE3">
        <w:rPr>
          <w:b/>
          <w:bCs/>
        </w:rPr>
        <w:t xml:space="preserve">IV. </w:t>
      </w:r>
      <w:r w:rsidRPr="001A5299">
        <w:rPr>
          <w:b/>
          <w:bCs/>
        </w:rPr>
        <w:t>Fraccionamiento del poder</w:t>
      </w:r>
    </w:p>
    <w:p w14:paraId="36B60FB5" w14:textId="77777777" w:rsidR="00DF73B1" w:rsidRPr="00297A52" w:rsidRDefault="00DF73B1" w:rsidP="00297A52">
      <w:pPr>
        <w:pStyle w:val="Listaconvietas"/>
        <w:numPr>
          <w:ilvl w:val="0"/>
          <w:numId w:val="0"/>
        </w:numPr>
        <w:spacing w:line="360" w:lineRule="auto"/>
      </w:pPr>
    </w:p>
    <w:p w14:paraId="01856D1F" w14:textId="313477DF" w:rsidR="00DF73B1" w:rsidRDefault="00DF73B1" w:rsidP="00297A52">
      <w:pPr>
        <w:pStyle w:val="Listaconvietas"/>
        <w:numPr>
          <w:ilvl w:val="0"/>
          <w:numId w:val="0"/>
        </w:numPr>
        <w:spacing w:line="360" w:lineRule="auto"/>
        <w:jc w:val="both"/>
      </w:pPr>
      <w:r w:rsidRPr="00297A52">
        <w:t>Según los antifederalistas norteamericanos del último cuarto del siglo XVIII, y Brennan y Buchanan (1980), que retomaron la visión de los primeros, el propósito del federalismo es dividir el poder político y, por tanto, el poder impositivo. Pero la coparticipación de fondos federales hace lo contrario: concentra el poder político y el tributario en lugar de dividirlo. Elimina la competencia entre las provincias. Es indeseable. Conviene que cada jurisdicción asuma la responsabilidad de recaudar sus propios impuestos y no se involucre en acuerdos explícitos para uniformar alícuotas (ibíd., 214). Poniendo al margen el tema redistributivo, Brennan y Buchanan concluyen que la ganancia de eficiencia que se deriva de la más baja presión tributaria y de un gasto público mejor ajustado al interés general en virtud de la amenaza de la movilidad interprovincial (votación con los pies), más que compensaría la pérdida de eficiencia que se deriva de la descentralización de la recaudación y de una oferta provincial subóptima de bienes públicos.</w:t>
      </w:r>
    </w:p>
    <w:p w14:paraId="72FA4E70" w14:textId="77777777" w:rsidR="00B06CE3" w:rsidRDefault="00B06CE3" w:rsidP="00B06CE3">
      <w:pPr>
        <w:pStyle w:val="Listaconvietas"/>
        <w:numPr>
          <w:ilvl w:val="0"/>
          <w:numId w:val="0"/>
        </w:numPr>
        <w:spacing w:line="360" w:lineRule="auto"/>
        <w:jc w:val="both"/>
      </w:pPr>
    </w:p>
    <w:p w14:paraId="76B7F3FB" w14:textId="07A01980" w:rsidR="00DF73B1" w:rsidRDefault="00DF73B1" w:rsidP="00B06CE3">
      <w:pPr>
        <w:pStyle w:val="Listaconvietas"/>
        <w:numPr>
          <w:ilvl w:val="0"/>
          <w:numId w:val="0"/>
        </w:numPr>
        <w:spacing w:line="360" w:lineRule="auto"/>
        <w:jc w:val="both"/>
      </w:pPr>
      <w:r w:rsidRPr="00297A52">
        <w:t xml:space="preserve">Los </w:t>
      </w:r>
      <w:proofErr w:type="spellStart"/>
      <w:r w:rsidRPr="00297A52">
        <w:t>antifederalistas</w:t>
      </w:r>
      <w:proofErr w:type="spellEnd"/>
      <w:r w:rsidRPr="00297A52">
        <w:t xml:space="preserve"> escribieron en defensa de los derechos de los estados poco antes de la sanción de la Constitución norteamericana de 1787. Querían preservar la confederación de </w:t>
      </w:r>
      <w:r w:rsidRPr="00297A52">
        <w:lastRenderedPageBreak/>
        <w:t xml:space="preserve">pequeñas repúblicas libres que funcionaba desde la independencia. Los guiaba la idea de que la república sólo es posible en un territorio pequeño. Conforme a Montesquieu, en </w:t>
      </w:r>
      <w:r w:rsidRPr="00297A52">
        <w:rPr>
          <w:i/>
        </w:rPr>
        <w:t>El Espíritu de las Leyes</w:t>
      </w:r>
      <w:r w:rsidRPr="00297A52">
        <w:t>, “Es na</w:t>
      </w:r>
      <w:r w:rsidR="00FA4182" w:rsidRPr="00297A52">
        <w:t>tural que una república tenga só</w:t>
      </w:r>
      <w:r w:rsidRPr="00297A52">
        <w:t xml:space="preserve">lo un pequeño territorio, pues de otro modo no puede subsistir tanto tiempo. (…) En una gran república, el bien público es sacrificado bajo mil intereses, se somete a excepciones y depende de accidentes. En una república pequeña, los intereses públicos se perciben con más facilidad, se entienden mejor y están más al alcance de cualquier ciudadano; los abusos son menores y, por supuesto, están menos protegidos” (Benegas Lynch h. y Jackisch 2004, 143). En la vereda opuesta, los federalistas pretendían consolidar el poder de los trece estados existentes en una sola república de mayor magnitud (ibíd., 137). En sentido estricto, los antifederalistas eran más federales que los federalistas. Los </w:t>
      </w:r>
      <w:r w:rsidR="000914B0" w:rsidRPr="00297A52">
        <w:t xml:space="preserve">siguientes </w:t>
      </w:r>
      <w:r w:rsidRPr="00297A52">
        <w:t>pasajes ilustran sus conceptos y temores.</w:t>
      </w:r>
    </w:p>
    <w:p w14:paraId="3B2BD158" w14:textId="77777777" w:rsidR="00B06CE3" w:rsidRDefault="00B06CE3" w:rsidP="00B06CE3">
      <w:pPr>
        <w:pStyle w:val="Listaconvietas"/>
        <w:numPr>
          <w:ilvl w:val="0"/>
          <w:numId w:val="0"/>
        </w:numPr>
        <w:spacing w:line="360" w:lineRule="auto"/>
        <w:jc w:val="both"/>
      </w:pPr>
    </w:p>
    <w:p w14:paraId="0A17ED75" w14:textId="1B0B007A" w:rsidR="00DF73B1" w:rsidRDefault="00DF73B1" w:rsidP="00B06CE3">
      <w:pPr>
        <w:pStyle w:val="Listaconvietas"/>
        <w:numPr>
          <w:ilvl w:val="0"/>
          <w:numId w:val="0"/>
        </w:numPr>
        <w:spacing w:line="360" w:lineRule="auto"/>
        <w:jc w:val="both"/>
      </w:pPr>
      <w:proofErr w:type="spellStart"/>
      <w:r w:rsidRPr="00297A52">
        <w:t>Brutus</w:t>
      </w:r>
      <w:proofErr w:type="spellEnd"/>
      <w:r w:rsidRPr="00297A52">
        <w:t xml:space="preserve">, quizá el </w:t>
      </w:r>
      <w:proofErr w:type="spellStart"/>
      <w:r w:rsidRPr="00297A52">
        <w:t>antifederalista</w:t>
      </w:r>
      <w:proofErr w:type="spellEnd"/>
      <w:r w:rsidRPr="00297A52">
        <w:t xml:space="preserve"> más notorio, afirmaba que la definición y la ejecución de la política tributaria, según la Constitución federalista que se aprobaría finalmente, quedaba centralizada en el gobierno federal y con ella se centralizaba también la percepción de todos los recursos necesarios para cumplir las vastas funciones que le eran asignadas al gobierno central (ibíd., 140). Destacaba que “la autoridad para establecer y recaudar tributos es la más importante de cuantas facultades pueden conferirse: se relaciona prácticamente con todas las demás competencias o, al menos, con el paso del tiempo terminará arrastrando tras ella a todas las demás” (ibíd., 141). </w:t>
      </w:r>
      <w:r w:rsidRPr="00297A52">
        <w:rPr>
          <w:lang w:val="af-ZA"/>
        </w:rPr>
        <w:t>The Impartial Examiner</w:t>
      </w:r>
      <w:r w:rsidRPr="00297A52">
        <w:t xml:space="preserve">, un autor menos conocido pero tan agudo como Brutus, era partidario de mantener el </w:t>
      </w:r>
      <w:r w:rsidRPr="00297A52">
        <w:rPr>
          <w:i/>
        </w:rPr>
        <w:t>sistema de requisiciones</w:t>
      </w:r>
      <w:r w:rsidRPr="00297A52">
        <w:t>, con algunas reformas al régimen de los “Artículos de la Confederación” al solo efecto de asegurar el dócil pago de las mismas. El congreso federal requeriría a las legislaturas estaduales las sumas necesarias para solventar los gastos federales; luego, cada gobierno local tendría que recaudar en su jurisdicción, de la manera que estimara más conveniente, su porción de los gastos comunes (ibíd., 234). Otro antifederalista, Patrick Henry, exgobernador de Virginia, defendía el sistema de requisiciones porque lo consideraba más compatible con el espíritu confederal (ibíd., 237).</w:t>
      </w:r>
    </w:p>
    <w:p w14:paraId="38472FCD" w14:textId="77777777" w:rsidR="00B06CE3" w:rsidRDefault="00B06CE3" w:rsidP="00B06CE3">
      <w:pPr>
        <w:pStyle w:val="Listaconvietas"/>
        <w:numPr>
          <w:ilvl w:val="0"/>
          <w:numId w:val="0"/>
        </w:numPr>
        <w:spacing w:line="360" w:lineRule="auto"/>
        <w:jc w:val="both"/>
      </w:pPr>
    </w:p>
    <w:p w14:paraId="52FD5787" w14:textId="1E019D4C" w:rsidR="00DF73B1" w:rsidRDefault="00E0243C" w:rsidP="00B06CE3">
      <w:pPr>
        <w:pStyle w:val="Listaconvietas"/>
        <w:numPr>
          <w:ilvl w:val="0"/>
          <w:numId w:val="0"/>
        </w:numPr>
        <w:spacing w:line="360" w:lineRule="auto"/>
        <w:jc w:val="both"/>
      </w:pPr>
      <w:r w:rsidRPr="00297A52">
        <w:t>Si bien reconoce la influencia antifederalista y echó las bases de una organización fiscal federal que es un punto de referencia en la actualidad (CEA 2000, 103), l</w:t>
      </w:r>
      <w:r w:rsidR="00DF73B1" w:rsidRPr="00297A52">
        <w:t xml:space="preserve">a Constitución de </w:t>
      </w:r>
      <w:r w:rsidR="00DF73B1" w:rsidRPr="00297A52">
        <w:lastRenderedPageBreak/>
        <w:t xml:space="preserve">1787 resultó más centralista de lo que deseaban los antifederalistas. La Constitución argentina de 1853 tomó como modelo a la norteamericana de 1787, y por esta vía recogió la influencia del pensamiento </w:t>
      </w:r>
      <w:proofErr w:type="spellStart"/>
      <w:r w:rsidR="00DF73B1" w:rsidRPr="00297A52">
        <w:t>antifederalista</w:t>
      </w:r>
      <w:proofErr w:type="spellEnd"/>
      <w:r w:rsidR="00DF73B1" w:rsidRPr="00297A52">
        <w:t>.</w:t>
      </w:r>
    </w:p>
    <w:p w14:paraId="55667077" w14:textId="77777777" w:rsidR="00B06CE3" w:rsidRDefault="00B06CE3" w:rsidP="00B06CE3">
      <w:pPr>
        <w:pStyle w:val="Listaconvietas"/>
        <w:numPr>
          <w:ilvl w:val="0"/>
          <w:numId w:val="0"/>
        </w:numPr>
        <w:spacing w:line="360" w:lineRule="auto"/>
        <w:jc w:val="both"/>
        <w:rPr>
          <w:lang w:val="es-MX"/>
        </w:rPr>
      </w:pPr>
    </w:p>
    <w:p w14:paraId="0F77466D" w14:textId="77777777" w:rsidR="00B06CE3" w:rsidRDefault="00DF73B1" w:rsidP="00B06CE3">
      <w:pPr>
        <w:pStyle w:val="Listaconvietas"/>
        <w:numPr>
          <w:ilvl w:val="0"/>
          <w:numId w:val="0"/>
        </w:numPr>
        <w:spacing w:line="360" w:lineRule="auto"/>
        <w:jc w:val="both"/>
      </w:pPr>
      <w:r w:rsidRPr="00297A52">
        <w:rPr>
          <w:lang w:val="es-MX"/>
        </w:rPr>
        <w:t xml:space="preserve">A continuación, consideraremos dos sistemas de organización fiscal compatibles con el fraccionamiento del poder impositivo nacional: el de requisiciones y el de separación de fuentes. El primero es un sistema inherente a una confederación de pequeñas repúblicas. Cada pequeña república provincial gira en forma periódica al gobierno nacional su pago de “expensas comunes”, y la Nación queda inhabilitada para recaudar tributos por su cuenta. Estos giros le permiten al gobierno nacional financiar el costo de los servicios públicos que la Constitución le ha asignado. El control del gasto público por parte de los contribuyentes es máximo. No es necesario fijarle límites constitucionales al gasto nacional. Este sistema, no obstante, cuenta con escasos antecedentes. Entre ellos, cabe mencionar la experiencia norteamericana durante la guerra de la independencia y dos experiencias contemporáneas: la interesante experiencia alemana (los Länders recaudan IVA e impuesto a las ganancias y giran parte al gobierno federal) y la sugestiva, aunque muy parcial, experiencia canadiense (la provincia de </w:t>
      </w:r>
      <w:r w:rsidRPr="00297A52">
        <w:rPr>
          <w:lang w:val="af-ZA"/>
        </w:rPr>
        <w:t>Quebec</w:t>
      </w:r>
      <w:r w:rsidRPr="00297A52">
        <w:t xml:space="preserve"> se reservó el derecho de recaudar IVA y coparticiparlo al gobierno federal) (CEA 2000, 110 y 106). En Argentina, entre 1820 y 1853, antes de la fundación del estado nacional, funcionó una muy rudimentaria confederación de repúblicas provinciales; aparte del gobernador, había en las provincias sala de representantes y tribunales de justicia en formación (</w:t>
      </w:r>
      <w:r w:rsidRPr="00297A52">
        <w:rPr>
          <w:lang w:val="af-ZA"/>
        </w:rPr>
        <w:t>Goldman</w:t>
      </w:r>
      <w:r w:rsidRPr="00297A52">
        <w:t xml:space="preserve"> 1998, 109). Las provincias tenían máxima autonomía fiscal aunque no giraban expensas comunes a la provincia de Buenos Aires, cuyo gobierno se encargaba de las relaciones exteriores y la defensa común (</w:t>
      </w:r>
      <w:r w:rsidRPr="00297A52">
        <w:rPr>
          <w:lang w:val="af-ZA"/>
        </w:rPr>
        <w:t>Schmit</w:t>
      </w:r>
      <w:r w:rsidRPr="00297A52">
        <w:t xml:space="preserve"> 1998, 144). El inconveniente del sistema de requisiciones</w:t>
      </w:r>
      <w:r w:rsidR="00CC52B8" w:rsidRPr="00297A52">
        <w:t xml:space="preserve"> estriba</w:t>
      </w:r>
      <w:r w:rsidRPr="00297A52">
        <w:t>, por cierto, en que pone a las finanzas nacionales en manos de los gobiernos provinciales, algunos de los cuales, en determinadas situaciones, pueden volverse indóciles y jaquear la estabilidad del gobierno nacional.</w:t>
      </w:r>
    </w:p>
    <w:p w14:paraId="312C06BD" w14:textId="77777777" w:rsidR="00B06CE3" w:rsidRDefault="00B06CE3" w:rsidP="00B06CE3">
      <w:pPr>
        <w:pStyle w:val="Listaconvietas"/>
        <w:numPr>
          <w:ilvl w:val="0"/>
          <w:numId w:val="0"/>
        </w:numPr>
        <w:spacing w:line="360" w:lineRule="auto"/>
        <w:jc w:val="both"/>
      </w:pPr>
    </w:p>
    <w:p w14:paraId="7A18A53A" w14:textId="6DD57666" w:rsidR="00DF73B1" w:rsidRPr="00B06CE3" w:rsidRDefault="00DF73B1" w:rsidP="00B06CE3">
      <w:pPr>
        <w:pStyle w:val="Listaconvietas"/>
        <w:numPr>
          <w:ilvl w:val="0"/>
          <w:numId w:val="0"/>
        </w:numPr>
        <w:spacing w:line="360" w:lineRule="auto"/>
        <w:jc w:val="both"/>
      </w:pPr>
      <w:r w:rsidRPr="00297A52">
        <w:rPr>
          <w:lang w:val="es-MX"/>
        </w:rPr>
        <w:t xml:space="preserve">El sistema de separación de fuentes rigió en nuestro país entre 1853 y 1935. Reservaba a la Nación la recaudación aduanera y la de los impuestos internos en la Ciudad de Buenos Aires y los territorios nacionales, y a las provincias, los impuestos directos y los internos en sus territorios. En la práctica, la separación de las funciones de gasto no fue taxativa o no se </w:t>
      </w:r>
      <w:r w:rsidRPr="00297A52">
        <w:rPr>
          <w:lang w:val="es-MX"/>
        </w:rPr>
        <w:lastRenderedPageBreak/>
        <w:t xml:space="preserve">respetó. Un ejemplo en este sentido es la educación primaria, que, debiendo ser provista por las provincias, fue provista en medida no menor por la Nación hasta que a fines del siglo XX las provincias asumieron plenamente la prestación del servicio. Este sistema </w:t>
      </w:r>
      <w:r w:rsidR="001409FE" w:rsidRPr="00297A52">
        <w:rPr>
          <w:lang w:val="es-MX"/>
        </w:rPr>
        <w:t xml:space="preserve">exigiría </w:t>
      </w:r>
      <w:r w:rsidRPr="00297A52">
        <w:rPr>
          <w:lang w:val="es-MX"/>
        </w:rPr>
        <w:t>una reforma constitucional que limite las funciones del gobierno nacional y lo obligue a gastar su recaudación en la prestación de ellas y en nada más. Sin esta clase de restricción, el gobierno nacional seguiría comportándose como un Leviatán puesto que la movilidad de las familias y sus recursos (bases imponibles), de una provincia a otra, no representa para la Nación una amenaza.</w:t>
      </w:r>
    </w:p>
    <w:p w14:paraId="090B2725" w14:textId="77777777" w:rsidR="00B06CE3" w:rsidRDefault="00B06CE3" w:rsidP="00B06CE3">
      <w:pPr>
        <w:pStyle w:val="Listaconvietas"/>
        <w:numPr>
          <w:ilvl w:val="0"/>
          <w:numId w:val="0"/>
        </w:numPr>
        <w:spacing w:line="360" w:lineRule="auto"/>
        <w:jc w:val="both"/>
        <w:rPr>
          <w:lang w:val="es-MX"/>
        </w:rPr>
      </w:pPr>
    </w:p>
    <w:p w14:paraId="1E87A366" w14:textId="150201C9" w:rsidR="00DF73B1" w:rsidRDefault="00DF73B1" w:rsidP="00B06CE3">
      <w:pPr>
        <w:pStyle w:val="Listaconvietas"/>
        <w:numPr>
          <w:ilvl w:val="0"/>
          <w:numId w:val="0"/>
        </w:numPr>
        <w:spacing w:line="360" w:lineRule="auto"/>
        <w:jc w:val="both"/>
        <w:rPr>
          <w:lang w:val="es-MX"/>
        </w:rPr>
      </w:pPr>
      <w:r w:rsidRPr="00297A52">
        <w:rPr>
          <w:lang w:val="es-MX"/>
        </w:rPr>
        <w:t>Otra reforma constitucional que pondría freno al Leviatán consiste en restringir el poder recaudatorio nacional a bases imponibles estrechas. Si en lugar de la base del IVA, que es amplia y puede financiar un gasto elevado, la Nación se viera limitada a recaudar sobre la base imponible de los impuestos internos, que es estrecha, el gasto nacional aumentaría con menor facilidad.</w:t>
      </w:r>
    </w:p>
    <w:p w14:paraId="120C93BF" w14:textId="77777777" w:rsidR="00F625F0" w:rsidRPr="00297A52" w:rsidRDefault="00F625F0" w:rsidP="00B06CE3">
      <w:pPr>
        <w:pStyle w:val="Listaconvietas"/>
        <w:numPr>
          <w:ilvl w:val="0"/>
          <w:numId w:val="0"/>
        </w:numPr>
        <w:spacing w:line="360" w:lineRule="auto"/>
        <w:jc w:val="both"/>
        <w:rPr>
          <w:lang w:val="es-MX"/>
        </w:rPr>
      </w:pPr>
    </w:p>
    <w:p w14:paraId="54944750" w14:textId="0BE96B3B" w:rsidR="00DF73B1" w:rsidRDefault="00DF73B1" w:rsidP="00B06CE3">
      <w:pPr>
        <w:pStyle w:val="Listaconvietas"/>
        <w:numPr>
          <w:ilvl w:val="0"/>
          <w:numId w:val="0"/>
        </w:numPr>
        <w:spacing w:line="360" w:lineRule="auto"/>
        <w:jc w:val="both"/>
        <w:rPr>
          <w:lang w:val="es-MX"/>
        </w:rPr>
      </w:pPr>
      <w:r w:rsidRPr="00297A52">
        <w:rPr>
          <w:lang w:val="es-MX"/>
        </w:rPr>
        <w:t>La separación de fuentes acercaría la organización fiscal y política argentina a la de una confederación de pequeñas repúblicas. Desaparecería el financiamiento nacional del gasto provincial. Los legisladores que representan a las provincias en el Congreso defenderían las preocupaciones del electorado o el gobernador provincial en vez de las del presidente de la Nación, y se constituirían así en otro límite a la expansión del gasto nacional.</w:t>
      </w:r>
    </w:p>
    <w:p w14:paraId="36E460BD" w14:textId="77777777" w:rsidR="00B06CE3" w:rsidRDefault="00B06CE3" w:rsidP="00B06CE3">
      <w:pPr>
        <w:pStyle w:val="Listaconvietas"/>
        <w:numPr>
          <w:ilvl w:val="0"/>
          <w:numId w:val="0"/>
        </w:numPr>
        <w:spacing w:line="360" w:lineRule="auto"/>
        <w:jc w:val="both"/>
        <w:rPr>
          <w:lang w:val="es-MX"/>
        </w:rPr>
      </w:pPr>
    </w:p>
    <w:p w14:paraId="578097EF" w14:textId="72600D82" w:rsidR="00DF73B1" w:rsidRDefault="00DF73B1" w:rsidP="00B06CE3">
      <w:pPr>
        <w:pStyle w:val="Listaconvietas"/>
        <w:numPr>
          <w:ilvl w:val="0"/>
          <w:numId w:val="0"/>
        </w:numPr>
        <w:spacing w:line="360" w:lineRule="auto"/>
        <w:jc w:val="both"/>
        <w:rPr>
          <w:lang w:val="es-MX"/>
        </w:rPr>
      </w:pPr>
      <w:r w:rsidRPr="00297A52">
        <w:rPr>
          <w:lang w:val="es-MX"/>
        </w:rPr>
        <w:t>Tanto con el primer sistema como con el segundo, los gobernadores se verían forzados por la competencia impositiva interprovincial a ofrecer los bienes públicos que deseen sus votantes en las cantidades apropiadas, con la menor presión tributaria posible. Tal como lo pronostica la teoría de la competencia para los mercados convencionales: la mayor cantidad por el menor precio.</w:t>
      </w:r>
    </w:p>
    <w:p w14:paraId="0D00A987" w14:textId="77777777" w:rsidR="00B06CE3" w:rsidRDefault="00B06CE3" w:rsidP="00B06CE3">
      <w:pPr>
        <w:pStyle w:val="Listaconvietas"/>
        <w:numPr>
          <w:ilvl w:val="0"/>
          <w:numId w:val="0"/>
        </w:numPr>
        <w:spacing w:line="360" w:lineRule="auto"/>
        <w:jc w:val="both"/>
        <w:rPr>
          <w:lang w:val="es-MX"/>
        </w:rPr>
      </w:pPr>
    </w:p>
    <w:p w14:paraId="7B519DC9" w14:textId="6D745A8F" w:rsidR="00DF73B1" w:rsidRDefault="00DF73B1" w:rsidP="00B06CE3">
      <w:pPr>
        <w:pStyle w:val="Listaconvietas"/>
        <w:numPr>
          <w:ilvl w:val="0"/>
          <w:numId w:val="0"/>
        </w:numPr>
        <w:spacing w:line="360" w:lineRule="auto"/>
        <w:jc w:val="both"/>
        <w:rPr>
          <w:lang w:val="es-MX"/>
        </w:rPr>
      </w:pPr>
      <w:r w:rsidRPr="00297A52">
        <w:rPr>
          <w:lang w:val="es-MX"/>
        </w:rPr>
        <w:t>Estos sistemas no contemplan el funcionamiento paralelo de un esquema transferencias para la igualación de capacidades fiscales de provincias ricas y pobres. Por varias razones:</w:t>
      </w:r>
    </w:p>
    <w:p w14:paraId="23C31AD5" w14:textId="77777777" w:rsidR="00B06CE3" w:rsidRPr="00297A52" w:rsidRDefault="00B06CE3" w:rsidP="00B06CE3">
      <w:pPr>
        <w:pStyle w:val="Listaconvietas"/>
        <w:numPr>
          <w:ilvl w:val="0"/>
          <w:numId w:val="0"/>
        </w:numPr>
        <w:spacing w:line="360" w:lineRule="auto"/>
        <w:jc w:val="both"/>
        <w:rPr>
          <w:lang w:val="es-MX"/>
        </w:rPr>
      </w:pPr>
    </w:p>
    <w:p w14:paraId="051F32CA" w14:textId="0EE93306" w:rsidR="00DF73B1" w:rsidRDefault="00DF73B1" w:rsidP="00297A52">
      <w:pPr>
        <w:pStyle w:val="Listaconvietas"/>
        <w:numPr>
          <w:ilvl w:val="0"/>
          <w:numId w:val="0"/>
        </w:numPr>
        <w:spacing w:line="360" w:lineRule="auto"/>
        <w:ind w:firstLine="360"/>
        <w:jc w:val="both"/>
        <w:rPr>
          <w:lang w:val="es-MX"/>
        </w:rPr>
      </w:pPr>
      <w:r w:rsidRPr="00297A52">
        <w:rPr>
          <w:lang w:val="es-MX"/>
        </w:rPr>
        <w:lastRenderedPageBreak/>
        <w:t>a) El vehículo más eficaz para redistribuir ingresos entre provincias es el fondo común, pero éste adolece de las fallas que hemos discutido extensamente.</w:t>
      </w:r>
    </w:p>
    <w:p w14:paraId="23573843" w14:textId="77777777" w:rsidR="00B06CE3" w:rsidRPr="00297A52" w:rsidRDefault="00B06CE3" w:rsidP="00297A52">
      <w:pPr>
        <w:pStyle w:val="Listaconvietas"/>
        <w:numPr>
          <w:ilvl w:val="0"/>
          <w:numId w:val="0"/>
        </w:numPr>
        <w:spacing w:line="360" w:lineRule="auto"/>
        <w:ind w:firstLine="360"/>
        <w:jc w:val="both"/>
        <w:rPr>
          <w:lang w:val="es-MX"/>
        </w:rPr>
      </w:pPr>
    </w:p>
    <w:p w14:paraId="18EC3226" w14:textId="3A2835D5" w:rsidR="00DF73B1" w:rsidRDefault="00DF73B1" w:rsidP="00297A52">
      <w:pPr>
        <w:pStyle w:val="Listaconvietas"/>
        <w:numPr>
          <w:ilvl w:val="0"/>
          <w:numId w:val="0"/>
        </w:numPr>
        <w:spacing w:line="360" w:lineRule="auto"/>
        <w:ind w:firstLine="360"/>
        <w:jc w:val="both"/>
        <w:rPr>
          <w:lang w:val="es-MX"/>
        </w:rPr>
      </w:pPr>
      <w:r w:rsidRPr="00297A52">
        <w:rPr>
          <w:lang w:val="es-MX"/>
        </w:rPr>
        <w:t>b) Un esquema de transferencias horizontales de fondos, desde las provincias ricas a las pobres (CEA 2000, V), no es fácilmente sostenible en el tiempo. Por un lado, las provincias ricas podrían no cumplir sus compromisos en situaciones de emergencia. Por el otro, en un sistema descentralizado y no coercitivo, las provincias ricas podrían no ver con buenos ojos que sus votantes pobres subsidien a los votantes ricos de las provincias pobres.</w:t>
      </w:r>
    </w:p>
    <w:p w14:paraId="33A5F3DD" w14:textId="77777777" w:rsidR="00B06CE3" w:rsidRPr="00297A52" w:rsidRDefault="00B06CE3" w:rsidP="00297A52">
      <w:pPr>
        <w:pStyle w:val="Listaconvietas"/>
        <w:numPr>
          <w:ilvl w:val="0"/>
          <w:numId w:val="0"/>
        </w:numPr>
        <w:spacing w:line="360" w:lineRule="auto"/>
        <w:ind w:firstLine="360"/>
        <w:jc w:val="both"/>
        <w:rPr>
          <w:lang w:val="es-MX"/>
        </w:rPr>
      </w:pPr>
    </w:p>
    <w:p w14:paraId="384C8936" w14:textId="008923B4" w:rsidR="00DF73B1" w:rsidRDefault="00DF73B1" w:rsidP="00297A52">
      <w:pPr>
        <w:pStyle w:val="Listaconvietas"/>
        <w:numPr>
          <w:ilvl w:val="0"/>
          <w:numId w:val="0"/>
        </w:numPr>
        <w:spacing w:line="360" w:lineRule="auto"/>
        <w:ind w:firstLine="360"/>
        <w:jc w:val="both"/>
        <w:rPr>
          <w:lang w:val="es-MX"/>
        </w:rPr>
      </w:pPr>
      <w:r w:rsidRPr="00297A52">
        <w:rPr>
          <w:lang w:val="es-MX"/>
        </w:rPr>
        <w:t xml:space="preserve">c) </w:t>
      </w:r>
      <w:r w:rsidR="006036E7" w:rsidRPr="00297A52">
        <w:rPr>
          <w:lang w:val="es-MX"/>
        </w:rPr>
        <w:t xml:space="preserve">La igualación de </w:t>
      </w:r>
      <w:r w:rsidRPr="00297A52">
        <w:rPr>
          <w:lang w:val="es-MX"/>
        </w:rPr>
        <w:t xml:space="preserve">capacidades fiscales implica </w:t>
      </w:r>
      <w:r w:rsidR="006036E7" w:rsidRPr="00297A52">
        <w:rPr>
          <w:lang w:val="es-MX"/>
        </w:rPr>
        <w:t xml:space="preserve">una perpetuación de </w:t>
      </w:r>
      <w:r w:rsidRPr="00297A52">
        <w:rPr>
          <w:lang w:val="es-MX"/>
        </w:rPr>
        <w:t xml:space="preserve">ineficiencias en </w:t>
      </w:r>
      <w:r w:rsidR="006036E7" w:rsidRPr="00297A52">
        <w:rPr>
          <w:lang w:val="es-MX"/>
        </w:rPr>
        <w:t xml:space="preserve">las </w:t>
      </w:r>
      <w:r w:rsidRPr="00297A52">
        <w:rPr>
          <w:lang w:val="es-MX"/>
        </w:rPr>
        <w:t xml:space="preserve">provincias subsidiadas. </w:t>
      </w:r>
      <w:r w:rsidR="00AE0509" w:rsidRPr="00297A52">
        <w:rPr>
          <w:lang w:val="es-MX"/>
        </w:rPr>
        <w:t>E</w:t>
      </w:r>
      <w:r w:rsidR="009D1DD1" w:rsidRPr="00297A52">
        <w:rPr>
          <w:lang w:val="es-MX"/>
        </w:rPr>
        <w:t>jemplo</w:t>
      </w:r>
      <w:r w:rsidR="00AE0509" w:rsidRPr="00297A52">
        <w:rPr>
          <w:lang w:val="es-MX"/>
        </w:rPr>
        <w:t>s en tal sentido son los</w:t>
      </w:r>
      <w:r w:rsidRPr="00297A52">
        <w:rPr>
          <w:lang w:val="es-MX"/>
        </w:rPr>
        <w:t xml:space="preserve"> ñoquis </w:t>
      </w:r>
      <w:r w:rsidR="006036E7" w:rsidRPr="00297A52">
        <w:rPr>
          <w:lang w:val="es-MX"/>
        </w:rPr>
        <w:t xml:space="preserve">en </w:t>
      </w:r>
      <w:r w:rsidR="00AE0509" w:rsidRPr="00297A52">
        <w:rPr>
          <w:lang w:val="es-MX"/>
        </w:rPr>
        <w:t xml:space="preserve">los </w:t>
      </w:r>
      <w:r w:rsidRPr="00297A52">
        <w:rPr>
          <w:lang w:val="es-MX"/>
        </w:rPr>
        <w:t xml:space="preserve">gobiernos locales y </w:t>
      </w:r>
      <w:r w:rsidR="00AE0509" w:rsidRPr="00297A52">
        <w:rPr>
          <w:lang w:val="es-MX"/>
        </w:rPr>
        <w:t xml:space="preserve">las </w:t>
      </w:r>
      <w:r w:rsidRPr="00297A52">
        <w:rPr>
          <w:lang w:val="es-MX"/>
        </w:rPr>
        <w:t>fábricas promovidas cuya rentabilidad proviene de exenciones tributarias.</w:t>
      </w:r>
    </w:p>
    <w:p w14:paraId="282B6FA2" w14:textId="77777777" w:rsidR="00B06CE3" w:rsidRPr="00297A52" w:rsidRDefault="00B06CE3" w:rsidP="00297A52">
      <w:pPr>
        <w:pStyle w:val="Listaconvietas"/>
        <w:numPr>
          <w:ilvl w:val="0"/>
          <w:numId w:val="0"/>
        </w:numPr>
        <w:spacing w:line="360" w:lineRule="auto"/>
        <w:ind w:firstLine="360"/>
        <w:jc w:val="both"/>
        <w:rPr>
          <w:lang w:val="es-MX"/>
        </w:rPr>
      </w:pPr>
    </w:p>
    <w:p w14:paraId="6B38B94D" w14:textId="25665905" w:rsidR="00A155C4" w:rsidRDefault="00DF73B1" w:rsidP="00297A52">
      <w:pPr>
        <w:pStyle w:val="Listaconvietas"/>
        <w:numPr>
          <w:ilvl w:val="0"/>
          <w:numId w:val="0"/>
        </w:numPr>
        <w:spacing w:line="360" w:lineRule="auto"/>
        <w:ind w:firstLine="360"/>
        <w:jc w:val="both"/>
        <w:rPr>
          <w:lang w:val="es-MX"/>
        </w:rPr>
      </w:pPr>
      <w:r w:rsidRPr="00297A52">
        <w:rPr>
          <w:lang w:val="es-MX"/>
        </w:rPr>
        <w:t>d) Las transferencias crean situaciones de dep</w:t>
      </w:r>
      <w:r w:rsidR="00A155C4" w:rsidRPr="00297A52">
        <w:rPr>
          <w:lang w:val="es-MX"/>
        </w:rPr>
        <w:t xml:space="preserve">endencia financiera y política. </w:t>
      </w:r>
      <w:r w:rsidR="00005C94" w:rsidRPr="00297A52">
        <w:rPr>
          <w:lang w:val="es-MX"/>
        </w:rPr>
        <w:t>Un ejemplo en este sentido es e</w:t>
      </w:r>
      <w:r w:rsidR="00A155C4" w:rsidRPr="00297A52">
        <w:rPr>
          <w:lang w:val="es-MX"/>
        </w:rPr>
        <w:t>l lobby de los gobernadores en Buenos Aires</w:t>
      </w:r>
      <w:r w:rsidR="00005C94" w:rsidRPr="00297A52">
        <w:rPr>
          <w:lang w:val="es-MX"/>
        </w:rPr>
        <w:t>.</w:t>
      </w:r>
    </w:p>
    <w:p w14:paraId="078CBE5D" w14:textId="77777777" w:rsidR="00F625F0" w:rsidRDefault="00F625F0" w:rsidP="00B06CE3">
      <w:pPr>
        <w:pStyle w:val="Listaconvietas"/>
        <w:numPr>
          <w:ilvl w:val="0"/>
          <w:numId w:val="0"/>
        </w:numPr>
        <w:spacing w:line="360" w:lineRule="auto"/>
        <w:jc w:val="both"/>
        <w:rPr>
          <w:lang w:val="es-MX"/>
        </w:rPr>
      </w:pPr>
    </w:p>
    <w:p w14:paraId="7A29B342" w14:textId="77777777" w:rsidR="00DF73B1" w:rsidRPr="00297A52" w:rsidRDefault="00DF73B1" w:rsidP="00B06CE3">
      <w:pPr>
        <w:pStyle w:val="Listaconvietas"/>
        <w:numPr>
          <w:ilvl w:val="0"/>
          <w:numId w:val="0"/>
        </w:numPr>
        <w:spacing w:line="360" w:lineRule="auto"/>
        <w:jc w:val="both"/>
        <w:rPr>
          <w:lang w:val="es-MX"/>
        </w:rPr>
      </w:pPr>
      <w:r w:rsidRPr="00297A52">
        <w:rPr>
          <w:lang w:val="es-MX"/>
        </w:rPr>
        <w:t xml:space="preserve">Buchanan </w:t>
      </w:r>
      <w:r w:rsidR="00D13EDC" w:rsidRPr="00297A52">
        <w:rPr>
          <w:lang w:val="es-MX"/>
        </w:rPr>
        <w:t>va al punto</w:t>
      </w:r>
      <w:r w:rsidRPr="00297A52">
        <w:rPr>
          <w:lang w:val="es-MX"/>
        </w:rPr>
        <w:t>: “que uno se decida o no por tener un sistema de transferencias de igualación depende de que quiera poner todo el peso del ajuste sobre la movilidad de los factores o que, de alguna forma, quiera neutralizar ese ajuste” (Musgrave y Buchanan 1999, 178</w:t>
      </w:r>
      <w:r w:rsidRPr="00297A52">
        <w:t>).</w:t>
      </w:r>
      <w:r w:rsidRPr="00297A52">
        <w:rPr>
          <w:lang w:val="es-MX"/>
        </w:rPr>
        <w:t xml:space="preserve"> “Canadá ha tenido un sistema como aquél por largo tiempo, y los principales beneficiarios han sido las provincias marítimas. Las provincias marítimas han caído en un estado de dependencia con respecto al resto de Canadá. En cierto sentido, con el paso del tiempo, esta es una objeción importante a cualquier transferencia igualadora” (ibíd., 179).</w:t>
      </w:r>
    </w:p>
    <w:p w14:paraId="2CCEE795" w14:textId="77777777" w:rsidR="00DF73B1" w:rsidRPr="00297A52" w:rsidRDefault="00DF73B1" w:rsidP="00297A52">
      <w:pPr>
        <w:pStyle w:val="Listaconvietas"/>
        <w:numPr>
          <w:ilvl w:val="0"/>
          <w:numId w:val="0"/>
        </w:numPr>
        <w:spacing w:line="360" w:lineRule="auto"/>
        <w:rPr>
          <w:lang w:val="es-MX"/>
        </w:rPr>
      </w:pPr>
    </w:p>
    <w:p w14:paraId="18971BAB" w14:textId="77777777" w:rsidR="00DF73B1" w:rsidRPr="00B06CE3" w:rsidRDefault="00DF73B1" w:rsidP="00297A52">
      <w:pPr>
        <w:pStyle w:val="Listaconvietas"/>
        <w:numPr>
          <w:ilvl w:val="0"/>
          <w:numId w:val="0"/>
        </w:numPr>
        <w:spacing w:line="360" w:lineRule="auto"/>
        <w:rPr>
          <w:b/>
          <w:bCs/>
          <w:lang w:val="es-MX"/>
        </w:rPr>
      </w:pPr>
      <w:r w:rsidRPr="00B06CE3">
        <w:rPr>
          <w:b/>
          <w:bCs/>
          <w:lang w:val="es-MX"/>
        </w:rPr>
        <w:t xml:space="preserve">V. </w:t>
      </w:r>
      <w:r w:rsidRPr="001A5299">
        <w:rPr>
          <w:b/>
          <w:bCs/>
          <w:lang w:val="es-ES_tradnl"/>
        </w:rPr>
        <w:t>Conclusiones</w:t>
      </w:r>
    </w:p>
    <w:p w14:paraId="780D2F1B" w14:textId="77777777" w:rsidR="00DF73B1" w:rsidRPr="00297A52" w:rsidRDefault="00DF73B1" w:rsidP="00297A52">
      <w:pPr>
        <w:pStyle w:val="Listaconvietas"/>
        <w:numPr>
          <w:ilvl w:val="0"/>
          <w:numId w:val="0"/>
        </w:numPr>
        <w:spacing w:line="360" w:lineRule="auto"/>
        <w:rPr>
          <w:lang w:val="es-MX"/>
        </w:rPr>
      </w:pPr>
    </w:p>
    <w:p w14:paraId="2CD523A8" w14:textId="77777777" w:rsidR="00DF73B1" w:rsidRPr="00297A52" w:rsidRDefault="00DF73B1" w:rsidP="00297A52">
      <w:pPr>
        <w:pStyle w:val="Listaconvietas"/>
        <w:numPr>
          <w:ilvl w:val="0"/>
          <w:numId w:val="0"/>
        </w:numPr>
        <w:spacing w:line="360" w:lineRule="auto"/>
        <w:jc w:val="both"/>
        <w:rPr>
          <w:lang w:val="es-MX"/>
        </w:rPr>
      </w:pPr>
      <w:r w:rsidRPr="00297A52">
        <w:rPr>
          <w:lang w:val="es-MX"/>
        </w:rPr>
        <w:t>Como se supuso en CEA (2000), existen convincentes razones teóricas y bastante evidencia empírica, argentina e internacional, para afirmar que la política del fondo común conduce a un gasto público provincial sobre-expandido. Este ineficiente aumento del gasto se puede explicar tanto como una consecuencia del fenómeno de la ilusión fiscal como por el modelo del Leviatán.</w:t>
      </w:r>
    </w:p>
    <w:p w14:paraId="4B8BBC20" w14:textId="77777777" w:rsidR="00B06CE3" w:rsidRDefault="00B06CE3" w:rsidP="00B06CE3">
      <w:pPr>
        <w:pStyle w:val="Listaconvietas"/>
        <w:numPr>
          <w:ilvl w:val="0"/>
          <w:numId w:val="0"/>
        </w:numPr>
        <w:spacing w:line="360" w:lineRule="auto"/>
        <w:jc w:val="both"/>
        <w:rPr>
          <w:lang w:val="es-MX"/>
        </w:rPr>
      </w:pPr>
    </w:p>
    <w:p w14:paraId="07C5BFD2" w14:textId="4ABD00E6" w:rsidR="00DF73B1" w:rsidRDefault="00DF73B1" w:rsidP="00B06CE3">
      <w:pPr>
        <w:pStyle w:val="Listaconvietas"/>
        <w:numPr>
          <w:ilvl w:val="0"/>
          <w:numId w:val="0"/>
        </w:numPr>
        <w:spacing w:line="360" w:lineRule="auto"/>
        <w:jc w:val="both"/>
        <w:rPr>
          <w:lang w:val="es-MX"/>
        </w:rPr>
      </w:pPr>
      <w:r w:rsidRPr="00297A52">
        <w:rPr>
          <w:lang w:val="es-MX"/>
        </w:rPr>
        <w:t>Los gobernadores no tienen interés en que la Nación devuelva a las provincias el poder de recaudar. Además de una paradoja, es un hecho político comprobable. Una explicación realista puede ser que los gobernadores formaron un cartel con el propósito de maximizar la recaudación global y sus respectivos presupuestos, encargaron a la Nación que se ocupe de su administración y previeron subsidios a las provincias pobres para evitar que lo rompan.</w:t>
      </w:r>
    </w:p>
    <w:p w14:paraId="4FD85943" w14:textId="77777777" w:rsidR="00B06CE3" w:rsidRPr="00297A52" w:rsidRDefault="00B06CE3" w:rsidP="00B06CE3">
      <w:pPr>
        <w:pStyle w:val="Listaconvietas"/>
        <w:numPr>
          <w:ilvl w:val="0"/>
          <w:numId w:val="0"/>
        </w:numPr>
        <w:spacing w:line="360" w:lineRule="auto"/>
        <w:jc w:val="both"/>
        <w:rPr>
          <w:lang w:val="es-MX"/>
        </w:rPr>
      </w:pPr>
    </w:p>
    <w:p w14:paraId="485CA252" w14:textId="39E533C9" w:rsidR="00DF73B1" w:rsidRDefault="00DF73B1" w:rsidP="00B06CE3">
      <w:pPr>
        <w:pStyle w:val="Listaconvietas"/>
        <w:numPr>
          <w:ilvl w:val="0"/>
          <w:numId w:val="0"/>
        </w:numPr>
        <w:spacing w:line="360" w:lineRule="auto"/>
        <w:jc w:val="both"/>
        <w:rPr>
          <w:lang w:val="es-MX"/>
        </w:rPr>
      </w:pPr>
      <w:r w:rsidRPr="00297A52">
        <w:rPr>
          <w:lang w:val="es-MX"/>
        </w:rPr>
        <w:t>Por razones de orden económico y político-institucional, en consecuencia, es deseable que la organización fiscal y política argentina se aproxime a la de una confederación de pequeñas repúblicas provinciales. Una alternativa es que las provincias concentren el poder recaudatorio y paguen ‘expensas comunes’ a la Nación, sin necesidad de establecer límites constitucionales al gasto nacional. Con este sistema, el control del gasto por parte de los contribuyentes provinciales sería máximo, aunque se correría el riesgo de la indocilidad de algunas provincias en situaciones de emergencia. Una segunda alternativa, que recupera la experiencia argentina de separación de fuentes de 1853-1935, consiste en que la Nación</w:t>
      </w:r>
      <w:r w:rsidR="00756095" w:rsidRPr="00297A52">
        <w:rPr>
          <w:lang w:val="es-MX"/>
        </w:rPr>
        <w:t xml:space="preserve"> tenga poder recaudatorio sobre bases imponibles </w:t>
      </w:r>
      <w:r w:rsidR="00032DD2" w:rsidRPr="00297A52">
        <w:rPr>
          <w:lang w:val="es-MX"/>
        </w:rPr>
        <w:t>relativamente e</w:t>
      </w:r>
      <w:r w:rsidR="00756095" w:rsidRPr="00297A52">
        <w:rPr>
          <w:lang w:val="es-MX"/>
        </w:rPr>
        <w:t>strechas para c</w:t>
      </w:r>
      <w:r w:rsidR="00032DD2" w:rsidRPr="00297A52">
        <w:rPr>
          <w:lang w:val="es-MX"/>
        </w:rPr>
        <w:t xml:space="preserve">ostear las funciones que una reforma constitucional le </w:t>
      </w:r>
      <w:r w:rsidR="00756095" w:rsidRPr="00297A52">
        <w:rPr>
          <w:lang w:val="es-MX"/>
        </w:rPr>
        <w:t>asign</w:t>
      </w:r>
      <w:r w:rsidR="00032DD2" w:rsidRPr="00297A52">
        <w:rPr>
          <w:lang w:val="es-MX"/>
        </w:rPr>
        <w:t>e</w:t>
      </w:r>
      <w:r w:rsidR="00756095" w:rsidRPr="00297A52">
        <w:rPr>
          <w:lang w:val="es-MX"/>
        </w:rPr>
        <w:t xml:space="preserve"> </w:t>
      </w:r>
      <w:r w:rsidR="00032DD2" w:rsidRPr="00297A52">
        <w:rPr>
          <w:lang w:val="es-MX"/>
        </w:rPr>
        <w:t xml:space="preserve">en forma </w:t>
      </w:r>
      <w:r w:rsidR="00756095" w:rsidRPr="00297A52">
        <w:rPr>
          <w:lang w:val="es-MX"/>
        </w:rPr>
        <w:t>taxativa</w:t>
      </w:r>
      <w:r w:rsidR="00032DD2" w:rsidRPr="00297A52">
        <w:rPr>
          <w:lang w:val="es-MX"/>
        </w:rPr>
        <w:t>.</w:t>
      </w:r>
    </w:p>
    <w:p w14:paraId="67C6BAE6" w14:textId="77777777" w:rsidR="00B06CE3" w:rsidRDefault="00B06CE3" w:rsidP="00B06CE3">
      <w:pPr>
        <w:pStyle w:val="Listaconvietas"/>
        <w:numPr>
          <w:ilvl w:val="0"/>
          <w:numId w:val="0"/>
        </w:numPr>
        <w:spacing w:line="360" w:lineRule="auto"/>
        <w:jc w:val="both"/>
        <w:rPr>
          <w:lang w:val="es-MX"/>
        </w:rPr>
      </w:pPr>
    </w:p>
    <w:p w14:paraId="24CC051F" w14:textId="11899FDE" w:rsidR="00A25513" w:rsidRPr="00297A52" w:rsidRDefault="00DF73B1" w:rsidP="00B06CE3">
      <w:pPr>
        <w:pStyle w:val="Listaconvietas"/>
        <w:numPr>
          <w:ilvl w:val="0"/>
          <w:numId w:val="0"/>
        </w:numPr>
        <w:spacing w:line="360" w:lineRule="auto"/>
        <w:jc w:val="both"/>
        <w:rPr>
          <w:b/>
          <w:i/>
          <w:lang w:val="es-MX"/>
        </w:rPr>
      </w:pPr>
      <w:r w:rsidRPr="00297A52">
        <w:rPr>
          <w:lang w:val="es-MX"/>
        </w:rPr>
        <w:t xml:space="preserve">No </w:t>
      </w:r>
      <w:r w:rsidR="00A25513" w:rsidRPr="00297A52">
        <w:rPr>
          <w:lang w:val="es-MX"/>
        </w:rPr>
        <w:t xml:space="preserve">se </w:t>
      </w:r>
      <w:r w:rsidRPr="00297A52">
        <w:rPr>
          <w:lang w:val="es-MX"/>
        </w:rPr>
        <w:t xml:space="preserve">considera la </w:t>
      </w:r>
      <w:r w:rsidR="00032DD2" w:rsidRPr="00297A52">
        <w:rPr>
          <w:lang w:val="es-MX"/>
        </w:rPr>
        <w:t>posibilidad</w:t>
      </w:r>
      <w:r w:rsidRPr="00297A52">
        <w:rPr>
          <w:lang w:val="es-MX"/>
        </w:rPr>
        <w:t xml:space="preserve"> de transferencia</w:t>
      </w:r>
      <w:r w:rsidR="00A25513" w:rsidRPr="00297A52">
        <w:rPr>
          <w:lang w:val="es-MX"/>
        </w:rPr>
        <w:t>s</w:t>
      </w:r>
      <w:r w:rsidRPr="00297A52">
        <w:rPr>
          <w:lang w:val="es-MX"/>
        </w:rPr>
        <w:t xml:space="preserve"> </w:t>
      </w:r>
      <w:r w:rsidR="00A25513" w:rsidRPr="00297A52">
        <w:rPr>
          <w:lang w:val="es-MX"/>
        </w:rPr>
        <w:t>de</w:t>
      </w:r>
      <w:r w:rsidRPr="00297A52">
        <w:rPr>
          <w:lang w:val="es-MX"/>
        </w:rPr>
        <w:t xml:space="preserve"> provincias ricas </w:t>
      </w:r>
      <w:r w:rsidR="00A25513" w:rsidRPr="00297A52">
        <w:rPr>
          <w:lang w:val="es-MX"/>
        </w:rPr>
        <w:t>a provincias</w:t>
      </w:r>
      <w:r w:rsidRPr="00297A52">
        <w:rPr>
          <w:lang w:val="es-MX"/>
        </w:rPr>
        <w:t xml:space="preserve"> pobres. </w:t>
      </w:r>
      <w:r w:rsidR="00D44F62" w:rsidRPr="00297A52">
        <w:rPr>
          <w:lang w:val="es-MX"/>
        </w:rPr>
        <w:t>Creemos que n</w:t>
      </w:r>
      <w:r w:rsidR="00A25513" w:rsidRPr="00297A52">
        <w:rPr>
          <w:lang w:val="es-MX"/>
        </w:rPr>
        <w:t>o se</w:t>
      </w:r>
      <w:r w:rsidR="00D44F62" w:rsidRPr="00297A52">
        <w:rPr>
          <w:lang w:val="es-MX"/>
        </w:rPr>
        <w:t>rí</w:t>
      </w:r>
      <w:r w:rsidR="00A25513" w:rsidRPr="00297A52">
        <w:rPr>
          <w:lang w:val="es-MX"/>
        </w:rPr>
        <w:t>an políticamente sostenibles e</w:t>
      </w:r>
      <w:r w:rsidRPr="00297A52">
        <w:rPr>
          <w:lang w:val="es-MX"/>
        </w:rPr>
        <w:t>n un contexto de compete</w:t>
      </w:r>
      <w:r w:rsidR="00A25513" w:rsidRPr="00297A52">
        <w:rPr>
          <w:lang w:val="es-MX"/>
        </w:rPr>
        <w:t>ncia impositiva interprovincial.</w:t>
      </w:r>
    </w:p>
    <w:p w14:paraId="0F8E1E54" w14:textId="77777777" w:rsidR="00357BDF" w:rsidRPr="00583A03" w:rsidRDefault="00D93BDC">
      <w:pPr>
        <w:rPr>
          <w:b/>
          <w:sz w:val="24"/>
          <w:szCs w:val="24"/>
          <w:u w:val="single"/>
          <w:lang w:val="es-ES"/>
        </w:rPr>
      </w:pPr>
      <w:r w:rsidRPr="00182CC0">
        <w:rPr>
          <w:b/>
          <w:sz w:val="24"/>
          <w:szCs w:val="24"/>
          <w:u w:val="single"/>
          <w:lang w:val="es-MX"/>
        </w:rPr>
        <w:br w:type="page"/>
      </w:r>
      <w:r w:rsidR="00BB0DEA" w:rsidRPr="00583A03">
        <w:rPr>
          <w:b/>
          <w:sz w:val="24"/>
          <w:szCs w:val="24"/>
          <w:u w:val="single"/>
          <w:lang w:val="es-ES"/>
        </w:rPr>
        <w:lastRenderedPageBreak/>
        <w:t>Apéndice Matemático</w:t>
      </w:r>
    </w:p>
    <w:p w14:paraId="3A6F63E0" w14:textId="77777777" w:rsidR="00357BDF" w:rsidRPr="00583A03" w:rsidRDefault="00357BDF">
      <w:pPr>
        <w:rPr>
          <w:u w:val="single"/>
          <w:lang w:val="es-MX"/>
        </w:rPr>
      </w:pPr>
    </w:p>
    <w:p w14:paraId="4635A3F7" w14:textId="77777777" w:rsidR="006C3436" w:rsidRPr="00583A03" w:rsidRDefault="006C3436">
      <w:pPr>
        <w:rPr>
          <w:u w:val="single"/>
          <w:lang w:val="es-MX"/>
        </w:rPr>
      </w:pPr>
    </w:p>
    <w:p w14:paraId="4EFD2C70" w14:textId="6A6F3BF6" w:rsidR="00357BDF" w:rsidRPr="00583A03" w:rsidRDefault="00357BDF" w:rsidP="00357BDF">
      <w:pPr>
        <w:pStyle w:val="Listaconvietas"/>
        <w:numPr>
          <w:ilvl w:val="0"/>
          <w:numId w:val="0"/>
        </w:numPr>
        <w:spacing w:line="360" w:lineRule="auto"/>
        <w:jc w:val="both"/>
      </w:pPr>
      <w:r w:rsidRPr="00583A03">
        <w:t xml:space="preserve">Los </w:t>
      </w:r>
      <w:r w:rsidR="00931554" w:rsidRPr="00583A03">
        <w:t xml:space="preserve">siguientes </w:t>
      </w:r>
      <w:r w:rsidRPr="00583A03">
        <w:t>pasos matemáticos explican el pasaje de la ecuación 6) a la 7):</w:t>
      </w:r>
    </w:p>
    <w:p w14:paraId="619EA917" w14:textId="77777777" w:rsidR="00357BDF" w:rsidRPr="00583A03" w:rsidRDefault="00357BDF" w:rsidP="00357BDF">
      <w:pPr>
        <w:pStyle w:val="Listaconvietas"/>
        <w:numPr>
          <w:ilvl w:val="0"/>
          <w:numId w:val="0"/>
        </w:numPr>
        <w:spacing w:line="360" w:lineRule="auto"/>
        <w:jc w:val="both"/>
      </w:pPr>
    </w:p>
    <w:p w14:paraId="1EC9C07B" w14:textId="77777777" w:rsidR="00357BDF" w:rsidRPr="00583A03" w:rsidRDefault="002432A8" w:rsidP="00357BDF">
      <w:pPr>
        <w:pStyle w:val="Listaconvietas"/>
        <w:numPr>
          <w:ilvl w:val="0"/>
          <w:numId w:val="0"/>
        </w:numPr>
        <w:spacing w:line="360" w:lineRule="auto"/>
        <w:jc w:val="both"/>
      </w:pPr>
      <m:oMathPara>
        <m:oMathParaPr>
          <m:jc m:val="left"/>
        </m:oMathParaPr>
        <m:oMath>
          <m:f>
            <m:fPr>
              <m:ctrlPr>
                <w:rPr>
                  <w:rFonts w:ascii="Cambria Math" w:hAnsi="Cambria Math"/>
                  <w:i/>
                </w:rPr>
              </m:ctrlPr>
            </m:fPr>
            <m:num>
              <m:r>
                <w:rPr>
                  <w:rFonts w:ascii="Cambria Math" w:hAnsi="Cambria Math"/>
                </w:rPr>
                <m:t>∂U</m:t>
              </m:r>
            </m:num>
            <m:den>
              <m:r>
                <w:rPr>
                  <w:rFonts w:ascii="Cambria Math" w:hAnsi="Cambria Math"/>
                </w:rPr>
                <m:t>∂y</m:t>
              </m:r>
            </m:den>
          </m:f>
          <m:f>
            <m:fPr>
              <m:ctrlPr>
                <w:rPr>
                  <w:rFonts w:ascii="Cambria Math" w:hAnsi="Cambria Math"/>
                  <w:i/>
                </w:rPr>
              </m:ctrlPr>
            </m:fPr>
            <m:num>
              <m:r>
                <w:rPr>
                  <w:rFonts w:ascii="Cambria Math" w:hAnsi="Cambria Math"/>
                </w:rPr>
                <m:t>∂y</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∂U</m:t>
              </m:r>
            </m:num>
            <m:den>
              <m:r>
                <w:rPr>
                  <w:rFonts w:ascii="Cambria Math" w:hAnsi="Cambria Math"/>
                </w:rPr>
                <m:t>∂x</m:t>
              </m:r>
            </m:den>
          </m:f>
          <m:r>
            <w:rPr>
              <w:rFonts w:ascii="Cambria Math" w:hAnsi="Cambria Math"/>
            </w:rPr>
            <m:t>=0</m:t>
          </m:r>
        </m:oMath>
      </m:oMathPara>
    </w:p>
    <w:p w14:paraId="3CEA0274" w14:textId="77777777" w:rsidR="00357BDF" w:rsidRPr="00583A03" w:rsidRDefault="00357BDF" w:rsidP="00357BDF">
      <w:pPr>
        <w:pStyle w:val="Listaconvietas"/>
        <w:numPr>
          <w:ilvl w:val="0"/>
          <w:numId w:val="0"/>
        </w:numPr>
        <w:spacing w:line="360" w:lineRule="auto"/>
        <w:jc w:val="both"/>
      </w:pPr>
    </w:p>
    <w:p w14:paraId="786CF8D3" w14:textId="77777777" w:rsidR="00357BDF" w:rsidRPr="00583A03" w:rsidRDefault="002432A8" w:rsidP="00357BDF">
      <w:pPr>
        <w:pStyle w:val="Listaconvietas"/>
        <w:numPr>
          <w:ilvl w:val="0"/>
          <w:numId w:val="0"/>
        </w:numPr>
        <w:spacing w:line="360" w:lineRule="auto"/>
        <w:jc w:val="both"/>
      </w:pPr>
      <m:oMathPara>
        <m:oMathParaPr>
          <m:jc m:val="left"/>
        </m:oMathParaPr>
        <m:oMath>
          <m:f>
            <m:fPr>
              <m:ctrlPr>
                <w:rPr>
                  <w:rFonts w:ascii="Cambria Math" w:hAnsi="Cambria Math"/>
                  <w:i/>
                </w:rPr>
              </m:ctrlPr>
            </m:fPr>
            <m:num>
              <m:r>
                <w:rPr>
                  <w:rFonts w:ascii="Cambria Math" w:hAnsi="Cambria Math"/>
                </w:rPr>
                <m:t>∂U</m:t>
              </m:r>
            </m:num>
            <m:den>
              <m:r>
                <w:rPr>
                  <w:rFonts w:ascii="Cambria Math" w:hAnsi="Cambria Math"/>
                </w:rPr>
                <m:t>∂y</m:t>
              </m:r>
            </m:den>
          </m:f>
          <m:f>
            <m:fPr>
              <m:ctrlPr>
                <w:rPr>
                  <w:rFonts w:ascii="Cambria Math" w:hAnsi="Cambria Math"/>
                  <w:i/>
                </w:rPr>
              </m:ctrlPr>
            </m:fPr>
            <m:num>
              <m:r>
                <w:rPr>
                  <w:rFonts w:ascii="Cambria Math" w:hAnsi="Cambria Math"/>
                </w:rPr>
                <m:t>∂[Y-</m:t>
              </m:r>
              <m:d>
                <m:dPr>
                  <m:ctrlPr>
                    <w:rPr>
                      <w:rFonts w:ascii="Cambria Math" w:hAnsi="Cambria Math"/>
                      <w:i/>
                    </w:rPr>
                  </m:ctrlPr>
                </m:dPr>
                <m:e>
                  <m:r>
                    <w:rPr>
                      <w:rFonts w:ascii="Cambria Math" w:hAnsi="Cambria Math"/>
                    </w:rPr>
                    <m:t>1-α</m:t>
                  </m:r>
                </m:e>
              </m:d>
              <m:r>
                <w:rPr>
                  <w:rFonts w:ascii="Cambria Math" w:hAnsi="Cambria Math"/>
                </w:rPr>
                <m:t>p</m:t>
              </m:r>
              <m:f>
                <m:fPr>
                  <m:ctrlPr>
                    <w:rPr>
                      <w:rFonts w:ascii="Cambria Math" w:hAnsi="Cambria Math"/>
                      <w:i/>
                    </w:rPr>
                  </m:ctrlPr>
                </m:fPr>
                <m:num>
                  <m:r>
                    <w:rPr>
                      <w:rFonts w:ascii="Cambria Math" w:hAnsi="Cambria Math"/>
                    </w:rPr>
                    <m:t>x</m:t>
                  </m:r>
                </m:num>
                <m:den>
                  <m:r>
                    <w:rPr>
                      <w:rFonts w:ascii="Cambria Math" w:hAnsi="Cambria Math"/>
                    </w:rPr>
                    <m:t>N</m:t>
                  </m:r>
                </m:den>
              </m:f>
              <m:r>
                <w:rPr>
                  <w:rFonts w:ascii="Cambria Math" w:hAnsi="Cambria Math"/>
                </w:rPr>
                <m:t>-∅αp</m:t>
              </m:r>
              <m:f>
                <m:fPr>
                  <m:ctrlPr>
                    <w:rPr>
                      <w:rFonts w:ascii="Cambria Math" w:hAnsi="Cambria Math"/>
                      <w:i/>
                    </w:rPr>
                  </m:ctrlPr>
                </m:fPr>
                <m:num>
                  <m:r>
                    <w:rPr>
                      <w:rFonts w:ascii="Cambria Math" w:hAnsi="Cambria Math"/>
                    </w:rPr>
                    <m:t>x</m:t>
                  </m:r>
                </m:num>
                <m:den>
                  <m:r>
                    <w:rPr>
                      <w:rFonts w:ascii="Cambria Math" w:hAnsi="Cambria Math"/>
                    </w:rPr>
                    <m:t>N</m:t>
                  </m:r>
                </m:den>
              </m:f>
              <m:r>
                <w:rPr>
                  <w:rFonts w:ascii="Cambria Math" w:hAnsi="Cambria Math"/>
                </w:rPr>
                <m:t>)</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∂U</m:t>
              </m:r>
            </m:num>
            <m:den>
              <m:r>
                <w:rPr>
                  <w:rFonts w:ascii="Cambria Math" w:hAnsi="Cambria Math"/>
                </w:rPr>
                <m:t>∂x</m:t>
              </m:r>
            </m:den>
          </m:f>
          <m:r>
            <w:rPr>
              <w:rFonts w:ascii="Cambria Math" w:hAnsi="Cambria Math"/>
            </w:rPr>
            <m:t>=0</m:t>
          </m:r>
        </m:oMath>
      </m:oMathPara>
    </w:p>
    <w:p w14:paraId="0792AAF2" w14:textId="77777777" w:rsidR="00357BDF" w:rsidRPr="00583A03" w:rsidRDefault="00357BDF" w:rsidP="00357BDF">
      <w:pPr>
        <w:pStyle w:val="Listaconvietas"/>
        <w:numPr>
          <w:ilvl w:val="0"/>
          <w:numId w:val="0"/>
        </w:numPr>
        <w:spacing w:line="360" w:lineRule="auto"/>
        <w:jc w:val="both"/>
      </w:pPr>
    </w:p>
    <w:p w14:paraId="20B4B5CC" w14:textId="77777777" w:rsidR="00357BDF" w:rsidRPr="00583A03" w:rsidRDefault="00357BDF" w:rsidP="00357BDF">
      <w:pPr>
        <w:pStyle w:val="Listaconvietas"/>
        <w:numPr>
          <w:ilvl w:val="0"/>
          <w:numId w:val="0"/>
        </w:numPr>
        <w:spacing w:line="360" w:lineRule="auto"/>
        <w:jc w:val="both"/>
      </w:pPr>
      <w:r w:rsidRPr="00583A03">
        <w:t xml:space="preserve">Dado que  </w:t>
      </w:r>
      <m:oMath>
        <m:f>
          <m:fPr>
            <m:ctrlPr>
              <w:rPr>
                <w:rFonts w:ascii="Cambria Math" w:hAnsi="Cambria Math"/>
                <w:i/>
              </w:rPr>
            </m:ctrlPr>
          </m:fPr>
          <m:num>
            <m:r>
              <w:rPr>
                <w:rFonts w:ascii="Cambria Math" w:hAnsi="Cambria Math"/>
              </w:rPr>
              <m:t>∂U</m:t>
            </m:r>
          </m:num>
          <m:den>
            <m:r>
              <w:rPr>
                <w:rFonts w:ascii="Cambria Math" w:hAnsi="Cambria Math"/>
              </w:rPr>
              <m:t>∂y</m:t>
            </m:r>
          </m:den>
        </m:f>
        <m:r>
          <w:rPr>
            <w:rFonts w:ascii="Cambria Math" w:hAnsi="Cambria Math"/>
          </w:rPr>
          <m:t>=</m:t>
        </m:r>
        <m:sSub>
          <m:sSubPr>
            <m:ctrlPr>
              <w:rPr>
                <w:rFonts w:ascii="Cambria Math" w:hAnsi="Cambria Math"/>
                <w:i/>
              </w:rPr>
            </m:ctrlPr>
          </m:sSubPr>
          <m:e>
            <m:r>
              <w:rPr>
                <w:rFonts w:ascii="Cambria Math" w:hAnsi="Cambria Math"/>
              </w:rPr>
              <m:t>MU</m:t>
            </m:r>
          </m:e>
          <m:sub>
            <m:r>
              <w:rPr>
                <w:rFonts w:ascii="Cambria Math" w:hAnsi="Cambria Math"/>
              </w:rPr>
              <m:t>y</m:t>
            </m:r>
          </m:sub>
        </m:sSub>
      </m:oMath>
      <w:r w:rsidRPr="00583A03">
        <w:t xml:space="preserve"> y  </w:t>
      </w:r>
      <m:oMath>
        <m:f>
          <m:fPr>
            <m:ctrlPr>
              <w:rPr>
                <w:rFonts w:ascii="Cambria Math" w:hAnsi="Cambria Math"/>
                <w:i/>
              </w:rPr>
            </m:ctrlPr>
          </m:fPr>
          <m:num>
            <m:r>
              <w:rPr>
                <w:rFonts w:ascii="Cambria Math" w:hAnsi="Cambria Math"/>
              </w:rPr>
              <m:t>∂U</m:t>
            </m:r>
          </m:num>
          <m:den>
            <m:r>
              <w:rPr>
                <w:rFonts w:ascii="Cambria Math" w:hAnsi="Cambria Math"/>
              </w:rPr>
              <m:t>∂x</m:t>
            </m:r>
          </m:den>
        </m:f>
        <m:r>
          <w:rPr>
            <w:rFonts w:ascii="Cambria Math" w:hAnsi="Cambria Math"/>
          </w:rPr>
          <m:t>=</m:t>
        </m:r>
        <m:sSub>
          <m:sSubPr>
            <m:ctrlPr>
              <w:rPr>
                <w:rFonts w:ascii="Cambria Math" w:hAnsi="Cambria Math"/>
                <w:i/>
              </w:rPr>
            </m:ctrlPr>
          </m:sSubPr>
          <m:e>
            <m:r>
              <w:rPr>
                <w:rFonts w:ascii="Cambria Math" w:hAnsi="Cambria Math"/>
              </w:rPr>
              <m:t>MU</m:t>
            </m:r>
          </m:e>
          <m:sub>
            <m:r>
              <w:rPr>
                <w:rFonts w:ascii="Cambria Math" w:hAnsi="Cambria Math"/>
              </w:rPr>
              <m:t>x</m:t>
            </m:r>
          </m:sub>
        </m:sSub>
      </m:oMath>
      <w:r w:rsidRPr="00583A03">
        <w:t>, entonces,</w:t>
      </w:r>
    </w:p>
    <w:p w14:paraId="4FAF0935" w14:textId="77777777" w:rsidR="00357BDF" w:rsidRPr="00583A03" w:rsidRDefault="00357BDF" w:rsidP="00357BDF">
      <w:pPr>
        <w:pStyle w:val="Listaconvietas"/>
        <w:numPr>
          <w:ilvl w:val="0"/>
          <w:numId w:val="0"/>
        </w:numPr>
        <w:spacing w:line="360" w:lineRule="auto"/>
        <w:jc w:val="both"/>
      </w:pPr>
    </w:p>
    <w:p w14:paraId="090115A4" w14:textId="77777777" w:rsidR="00357BDF" w:rsidRPr="00583A03" w:rsidRDefault="00357BDF" w:rsidP="00357BDF">
      <w:pPr>
        <w:pStyle w:val="Listaconvietas"/>
        <w:numPr>
          <w:ilvl w:val="0"/>
          <w:numId w:val="0"/>
        </w:numPr>
        <w:spacing w:line="360" w:lineRule="auto"/>
        <w:jc w:val="both"/>
      </w:pPr>
      <m:oMath>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MU</m:t>
                </m:r>
              </m:e>
              <m:sub>
                <m:r>
                  <w:rPr>
                    <w:rFonts w:ascii="Cambria Math" w:hAnsi="Cambria Math"/>
                  </w:rPr>
                  <m:t>x</m:t>
                </m:r>
              </m:sub>
            </m:sSub>
          </m:num>
          <m:den>
            <m:sSub>
              <m:sSubPr>
                <m:ctrlPr>
                  <w:rPr>
                    <w:rFonts w:ascii="Cambria Math" w:hAnsi="Cambria Math"/>
                    <w:i/>
                  </w:rPr>
                </m:ctrlPr>
              </m:sSubPr>
              <m:e>
                <m:r>
                  <w:rPr>
                    <w:rFonts w:ascii="Cambria Math" w:hAnsi="Cambria Math"/>
                  </w:rPr>
                  <m:t>MU</m:t>
                </m:r>
              </m:e>
              <m:sub>
                <m:r>
                  <w:rPr>
                    <w:rFonts w:ascii="Cambria Math" w:hAnsi="Cambria Math"/>
                  </w:rPr>
                  <m:t>y</m:t>
                </m:r>
              </m:sub>
            </m:sSub>
          </m:den>
        </m:f>
        <m:r>
          <w:rPr>
            <w:rFonts w:ascii="Cambria Math" w:hAnsi="Cambria Math"/>
          </w:rPr>
          <m:t>=-</m:t>
        </m:r>
        <m:d>
          <m:dPr>
            <m:ctrlPr>
              <w:rPr>
                <w:rFonts w:ascii="Cambria Math" w:hAnsi="Cambria Math"/>
                <w:i/>
              </w:rPr>
            </m:ctrlPr>
          </m:dPr>
          <m:e>
            <m:r>
              <w:rPr>
                <w:rFonts w:ascii="Cambria Math" w:hAnsi="Cambria Math"/>
              </w:rPr>
              <m:t>1-α</m:t>
            </m:r>
          </m:e>
        </m:d>
        <m:f>
          <m:fPr>
            <m:ctrlPr>
              <w:rPr>
                <w:rFonts w:ascii="Cambria Math" w:hAnsi="Cambria Math"/>
                <w:i/>
              </w:rPr>
            </m:ctrlPr>
          </m:fPr>
          <m:num>
            <m:r>
              <w:rPr>
                <w:rFonts w:ascii="Cambria Math" w:hAnsi="Cambria Math"/>
              </w:rPr>
              <m:t>p</m:t>
            </m:r>
          </m:num>
          <m:den>
            <m:r>
              <w:rPr>
                <w:rFonts w:ascii="Cambria Math" w:hAnsi="Cambria Math"/>
              </w:rPr>
              <m:t>N</m:t>
            </m:r>
          </m:den>
        </m:f>
        <m:r>
          <w:rPr>
            <w:rFonts w:ascii="Cambria Math" w:hAnsi="Cambria Math"/>
          </w:rPr>
          <m:t>-∅α</m:t>
        </m:r>
        <m:f>
          <m:fPr>
            <m:ctrlPr>
              <w:rPr>
                <w:rFonts w:ascii="Cambria Math" w:hAnsi="Cambria Math"/>
                <w:i/>
              </w:rPr>
            </m:ctrlPr>
          </m:fPr>
          <m:num>
            <m:r>
              <w:rPr>
                <w:rFonts w:ascii="Cambria Math" w:hAnsi="Cambria Math"/>
              </w:rPr>
              <m:t>p</m:t>
            </m:r>
          </m:num>
          <m:den>
            <m:r>
              <w:rPr>
                <w:rFonts w:ascii="Cambria Math" w:hAnsi="Cambria Math"/>
              </w:rPr>
              <m:t>N</m:t>
            </m:r>
          </m:den>
        </m:f>
      </m:oMath>
      <w:r w:rsidRPr="00583A03">
        <w:t>,</w:t>
      </w:r>
    </w:p>
    <w:p w14:paraId="09A7F0D3" w14:textId="77777777" w:rsidR="00357BDF" w:rsidRPr="00583A03" w:rsidRDefault="00357BDF" w:rsidP="00357BDF">
      <w:pPr>
        <w:pStyle w:val="Listaconvietas"/>
        <w:numPr>
          <w:ilvl w:val="0"/>
          <w:numId w:val="0"/>
        </w:numPr>
        <w:spacing w:line="360" w:lineRule="auto"/>
        <w:jc w:val="both"/>
      </w:pPr>
    </w:p>
    <w:p w14:paraId="0ACE83A1" w14:textId="77777777" w:rsidR="00357BDF" w:rsidRPr="00583A03" w:rsidRDefault="00357BDF" w:rsidP="00357BDF">
      <w:pPr>
        <w:pStyle w:val="Listaconvietas"/>
        <w:numPr>
          <w:ilvl w:val="0"/>
          <w:numId w:val="0"/>
        </w:numPr>
        <w:spacing w:line="360" w:lineRule="auto"/>
        <w:jc w:val="both"/>
      </w:pPr>
      <w:r w:rsidRPr="00583A03">
        <w:t xml:space="preserve">Ahora bien, como  </w:t>
      </w:r>
      <m:oMath>
        <m:f>
          <m:fPr>
            <m:ctrlPr>
              <w:rPr>
                <w:rFonts w:ascii="Cambria Math" w:hAnsi="Cambria Math"/>
                <w:i/>
              </w:rPr>
            </m:ctrlPr>
          </m:fPr>
          <m:num>
            <m:sSub>
              <m:sSubPr>
                <m:ctrlPr>
                  <w:rPr>
                    <w:rFonts w:ascii="Cambria Math" w:hAnsi="Cambria Math"/>
                    <w:i/>
                  </w:rPr>
                </m:ctrlPr>
              </m:sSubPr>
              <m:e>
                <m:r>
                  <w:rPr>
                    <w:rFonts w:ascii="Cambria Math" w:hAnsi="Cambria Math"/>
                  </w:rPr>
                  <m:t>MU</m:t>
                </m:r>
              </m:e>
              <m:sub>
                <m:r>
                  <w:rPr>
                    <w:rFonts w:ascii="Cambria Math" w:hAnsi="Cambria Math"/>
                  </w:rPr>
                  <m:t>x</m:t>
                </m:r>
              </m:sub>
            </m:sSub>
          </m:num>
          <m:den>
            <m:sSub>
              <m:sSubPr>
                <m:ctrlPr>
                  <w:rPr>
                    <w:rFonts w:ascii="Cambria Math" w:hAnsi="Cambria Math"/>
                    <w:i/>
                  </w:rPr>
                </m:ctrlPr>
              </m:sSubPr>
              <m:e>
                <m:r>
                  <w:rPr>
                    <w:rFonts w:ascii="Cambria Math" w:hAnsi="Cambria Math"/>
                  </w:rPr>
                  <m:t>MU</m:t>
                </m:r>
              </m:e>
              <m:sub>
                <m:r>
                  <w:rPr>
                    <w:rFonts w:ascii="Cambria Math" w:hAnsi="Cambria Math"/>
                  </w:rPr>
                  <m:t>y</m:t>
                </m:r>
              </m:sub>
            </m:sSub>
          </m:den>
        </m:f>
        <m:r>
          <w:rPr>
            <w:rFonts w:ascii="Cambria Math" w:hAnsi="Cambria Math"/>
          </w:rPr>
          <m:t>=</m:t>
        </m:r>
        <m:sSub>
          <m:sSubPr>
            <m:ctrlPr>
              <w:rPr>
                <w:rFonts w:ascii="Cambria Math" w:hAnsi="Cambria Math"/>
                <w:i/>
              </w:rPr>
            </m:ctrlPr>
          </m:sSubPr>
          <m:e>
            <m:r>
              <w:rPr>
                <w:rFonts w:ascii="Cambria Math" w:hAnsi="Cambria Math"/>
              </w:rPr>
              <m:t>MV</m:t>
            </m:r>
          </m:e>
          <m:sub>
            <m:r>
              <w:rPr>
                <w:rFonts w:ascii="Cambria Math" w:hAnsi="Cambria Math"/>
              </w:rPr>
              <m:t>x</m:t>
            </m:r>
          </m:sub>
        </m:sSub>
      </m:oMath>
      <w:r w:rsidRPr="00583A03">
        <w:t xml:space="preserve">, donde </w:t>
      </w:r>
      <m:oMath>
        <m:sSub>
          <m:sSubPr>
            <m:ctrlPr>
              <w:rPr>
                <w:rFonts w:ascii="Cambria Math" w:hAnsi="Cambria Math"/>
                <w:i/>
              </w:rPr>
            </m:ctrlPr>
          </m:sSubPr>
          <m:e>
            <m:r>
              <w:rPr>
                <w:rFonts w:ascii="Cambria Math" w:hAnsi="Cambria Math"/>
              </w:rPr>
              <m:t>MV</m:t>
            </m:r>
          </m:e>
          <m:sub>
            <m:r>
              <w:rPr>
                <w:rFonts w:ascii="Cambria Math" w:hAnsi="Cambria Math"/>
              </w:rPr>
              <m:t>x</m:t>
            </m:r>
          </m:sub>
        </m:sSub>
      </m:oMath>
      <w:r w:rsidRPr="00583A03">
        <w:t xml:space="preserve"> es la valuación marginal del bien </w:t>
      </w:r>
      <w:r w:rsidRPr="00583A03">
        <w:rPr>
          <w:i/>
        </w:rPr>
        <w:t>x</w:t>
      </w:r>
      <w:r w:rsidRPr="00583A03">
        <w:t>:</w:t>
      </w:r>
    </w:p>
    <w:p w14:paraId="2F9C7B13" w14:textId="77777777" w:rsidR="00357BDF" w:rsidRPr="00583A03" w:rsidRDefault="00357BDF" w:rsidP="00357BDF">
      <w:pPr>
        <w:pStyle w:val="Listaconvietas"/>
        <w:numPr>
          <w:ilvl w:val="0"/>
          <w:numId w:val="0"/>
        </w:numPr>
        <w:spacing w:line="360" w:lineRule="auto"/>
        <w:jc w:val="both"/>
      </w:pPr>
    </w:p>
    <w:p w14:paraId="212A5B99" w14:textId="77777777" w:rsidR="00357BDF" w:rsidRPr="00583A03" w:rsidRDefault="002432A8" w:rsidP="00357BDF">
      <w:pPr>
        <w:pStyle w:val="Listaconvietas"/>
        <w:numPr>
          <w:ilvl w:val="0"/>
          <w:numId w:val="0"/>
        </w:numPr>
        <w:spacing w:line="360" w:lineRule="auto"/>
        <w:jc w:val="both"/>
      </w:pPr>
      <m:oMath>
        <m:sSub>
          <m:sSubPr>
            <m:ctrlPr>
              <w:rPr>
                <w:rFonts w:ascii="Cambria Math" w:hAnsi="Cambria Math"/>
                <w:i/>
              </w:rPr>
            </m:ctrlPr>
          </m:sSubPr>
          <m:e>
            <m:r>
              <w:rPr>
                <w:rFonts w:ascii="Cambria Math" w:hAnsi="Cambria Math"/>
              </w:rPr>
              <m:t>MV</m:t>
            </m:r>
          </m:e>
          <m:sub>
            <m:r>
              <w:rPr>
                <w:rFonts w:ascii="Cambria Math" w:hAnsi="Cambria Math"/>
              </w:rPr>
              <m:t>x</m:t>
            </m:r>
          </m:sub>
        </m:sSub>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N</m:t>
            </m:r>
          </m:den>
        </m:f>
        <m:r>
          <w:rPr>
            <w:rFonts w:ascii="Cambria Math" w:hAnsi="Cambria Math"/>
          </w:rPr>
          <m:t>-α</m:t>
        </m:r>
        <m:f>
          <m:fPr>
            <m:ctrlPr>
              <w:rPr>
                <w:rFonts w:ascii="Cambria Math" w:hAnsi="Cambria Math"/>
                <w:i/>
              </w:rPr>
            </m:ctrlPr>
          </m:fPr>
          <m:num>
            <m:r>
              <w:rPr>
                <w:rFonts w:ascii="Cambria Math" w:hAnsi="Cambria Math"/>
              </w:rPr>
              <m:t>p</m:t>
            </m:r>
          </m:num>
          <m:den>
            <m:r>
              <w:rPr>
                <w:rFonts w:ascii="Cambria Math" w:hAnsi="Cambria Math"/>
              </w:rPr>
              <m:t>N</m:t>
            </m:r>
          </m:den>
        </m:f>
        <m:r>
          <w:rPr>
            <w:rFonts w:ascii="Cambria Math" w:hAnsi="Cambria Math"/>
          </w:rPr>
          <m:t>+∅α</m:t>
        </m:r>
        <m:f>
          <m:fPr>
            <m:ctrlPr>
              <w:rPr>
                <w:rFonts w:ascii="Cambria Math" w:hAnsi="Cambria Math"/>
                <w:i/>
              </w:rPr>
            </m:ctrlPr>
          </m:fPr>
          <m:num>
            <m:r>
              <w:rPr>
                <w:rFonts w:ascii="Cambria Math" w:hAnsi="Cambria Math"/>
              </w:rPr>
              <m:t>p</m:t>
            </m:r>
          </m:num>
          <m:den>
            <m:r>
              <w:rPr>
                <w:rFonts w:ascii="Cambria Math" w:hAnsi="Cambria Math"/>
              </w:rPr>
              <m:t>N</m:t>
            </m:r>
          </m:den>
        </m:f>
      </m:oMath>
      <w:r w:rsidR="00357BDF" w:rsidRPr="00583A03">
        <w:t>,</w:t>
      </w:r>
    </w:p>
    <w:p w14:paraId="7108D24C" w14:textId="77777777" w:rsidR="00357BDF" w:rsidRPr="00583A03" w:rsidRDefault="00357BDF" w:rsidP="00357BDF">
      <w:pPr>
        <w:pStyle w:val="Listaconvietas"/>
        <w:numPr>
          <w:ilvl w:val="0"/>
          <w:numId w:val="0"/>
        </w:numPr>
        <w:spacing w:line="360" w:lineRule="auto"/>
        <w:jc w:val="both"/>
      </w:pPr>
    </w:p>
    <w:p w14:paraId="7A78A604" w14:textId="17898EA9" w:rsidR="00357BDF" w:rsidRPr="00583A03" w:rsidRDefault="00357BDF" w:rsidP="00357BDF">
      <w:pPr>
        <w:pStyle w:val="Listaconvietas"/>
        <w:numPr>
          <w:ilvl w:val="0"/>
          <w:numId w:val="0"/>
        </w:numPr>
        <w:spacing w:line="360" w:lineRule="auto"/>
        <w:jc w:val="both"/>
      </w:pPr>
      <w:r w:rsidRPr="00583A03">
        <w:t xml:space="preserve">Del reordenamiento de </w:t>
      </w:r>
      <w:r w:rsidR="003C609D" w:rsidRPr="00583A03">
        <w:t>esta</w:t>
      </w:r>
      <w:r w:rsidRPr="00583A03">
        <w:t xml:space="preserve"> ecuación surge la ecuación 7:</w:t>
      </w:r>
    </w:p>
    <w:p w14:paraId="0185E3C3" w14:textId="77777777" w:rsidR="00357BDF" w:rsidRPr="00583A03" w:rsidRDefault="00357BDF" w:rsidP="00357BDF">
      <w:pPr>
        <w:pStyle w:val="Listaconvietas"/>
        <w:numPr>
          <w:ilvl w:val="0"/>
          <w:numId w:val="0"/>
        </w:numPr>
        <w:spacing w:line="360" w:lineRule="auto"/>
        <w:jc w:val="both"/>
      </w:pPr>
    </w:p>
    <w:p w14:paraId="087F7082" w14:textId="5B0427F5" w:rsidR="00357BDF" w:rsidRPr="00583A03" w:rsidRDefault="00357BDF" w:rsidP="00357BDF">
      <w:pPr>
        <w:pStyle w:val="Listaconvietas"/>
        <w:numPr>
          <w:ilvl w:val="0"/>
          <w:numId w:val="0"/>
        </w:numPr>
        <w:spacing w:line="360" w:lineRule="auto"/>
        <w:jc w:val="both"/>
      </w:pPr>
      <w:r w:rsidRPr="00583A03">
        <w:t xml:space="preserve">7) </w:t>
      </w:r>
      <m:oMath>
        <m:sSub>
          <m:sSubPr>
            <m:ctrlPr>
              <w:rPr>
                <w:rFonts w:ascii="Cambria Math" w:hAnsi="Cambria Math"/>
                <w:i/>
              </w:rPr>
            </m:ctrlPr>
          </m:sSubPr>
          <m:e>
            <m:r>
              <w:rPr>
                <w:rFonts w:ascii="Cambria Math" w:hAnsi="Cambria Math"/>
              </w:rPr>
              <m:t>MV</m:t>
            </m:r>
          </m:e>
          <m:sub>
            <m:r>
              <w:rPr>
                <w:rFonts w:ascii="Cambria Math" w:hAnsi="Cambria Math"/>
              </w:rPr>
              <m:t>X</m:t>
            </m:r>
          </m:sub>
        </m:sSub>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N</m:t>
            </m:r>
          </m:den>
        </m:f>
        <m:r>
          <w:rPr>
            <w:rFonts w:ascii="Cambria Math" w:hAnsi="Cambria Math"/>
          </w:rPr>
          <m:t>+α(∅-1)</m:t>
        </m:r>
        <m:f>
          <m:fPr>
            <m:ctrlPr>
              <w:rPr>
                <w:rFonts w:ascii="Cambria Math" w:hAnsi="Cambria Math"/>
                <w:i/>
              </w:rPr>
            </m:ctrlPr>
          </m:fPr>
          <m:num>
            <m:r>
              <w:rPr>
                <w:rFonts w:ascii="Cambria Math" w:hAnsi="Cambria Math"/>
              </w:rPr>
              <m:t>p</m:t>
            </m:r>
          </m:num>
          <m:den>
            <m:r>
              <w:rPr>
                <w:rFonts w:ascii="Cambria Math" w:hAnsi="Cambria Math"/>
              </w:rPr>
              <m:t>N</m:t>
            </m:r>
          </m:den>
        </m:f>
      </m:oMath>
    </w:p>
    <w:p w14:paraId="1C0BD557" w14:textId="77777777" w:rsidR="00357BDF" w:rsidRPr="00583A03" w:rsidRDefault="00357BDF" w:rsidP="00357BDF">
      <w:pPr>
        <w:pStyle w:val="Listaconvietas"/>
        <w:numPr>
          <w:ilvl w:val="0"/>
          <w:numId w:val="0"/>
        </w:numPr>
        <w:spacing w:line="360" w:lineRule="auto"/>
        <w:jc w:val="both"/>
      </w:pPr>
    </w:p>
    <w:p w14:paraId="0D042CBC" w14:textId="77777777" w:rsidR="00357BDF" w:rsidRPr="00583A03" w:rsidRDefault="00357BDF" w:rsidP="00357BDF">
      <w:pPr>
        <w:pStyle w:val="Listaconvietas"/>
        <w:numPr>
          <w:ilvl w:val="0"/>
          <w:numId w:val="0"/>
        </w:numPr>
        <w:spacing w:line="360" w:lineRule="auto"/>
        <w:jc w:val="both"/>
      </w:pPr>
      <w:r w:rsidRPr="00583A03">
        <w:t xml:space="preserve">Si ahora suponemos que </w:t>
      </w:r>
      <m:oMath>
        <m:r>
          <w:rPr>
            <w:rFonts w:ascii="Cambria Math" w:hAnsi="Cambria Math"/>
          </w:rPr>
          <m:t>0&lt;α&lt;1</m:t>
        </m:r>
      </m:oMath>
      <w:r w:rsidRPr="00583A03">
        <w:t xml:space="preserve"> y </w:t>
      </w:r>
      <m:oMath>
        <m:r>
          <w:rPr>
            <w:rFonts w:ascii="Cambria Math" w:hAnsi="Cambria Math"/>
          </w:rPr>
          <m:t>∅=0</m:t>
        </m:r>
      </m:oMath>
      <w:r w:rsidRPr="00583A03">
        <w:t>, llegamos a la siguiente ecuación:</w:t>
      </w:r>
    </w:p>
    <w:p w14:paraId="7434D404" w14:textId="77777777" w:rsidR="00357BDF" w:rsidRPr="00583A03" w:rsidRDefault="00357BDF" w:rsidP="00357BDF">
      <w:pPr>
        <w:pStyle w:val="Listaconvietas"/>
        <w:numPr>
          <w:ilvl w:val="0"/>
          <w:numId w:val="0"/>
        </w:numPr>
        <w:spacing w:line="360" w:lineRule="auto"/>
        <w:jc w:val="both"/>
      </w:pPr>
    </w:p>
    <w:p w14:paraId="29B689FD" w14:textId="77777777" w:rsidR="00357BDF" w:rsidRPr="00583A03" w:rsidRDefault="002432A8" w:rsidP="00357BDF">
      <w:pPr>
        <w:pStyle w:val="Listaconvietas"/>
        <w:numPr>
          <w:ilvl w:val="0"/>
          <w:numId w:val="0"/>
        </w:numPr>
        <w:spacing w:line="360" w:lineRule="auto"/>
        <w:jc w:val="both"/>
      </w:pPr>
      <m:oMathPara>
        <m:oMathParaPr>
          <m:jc m:val="left"/>
        </m:oMathParaPr>
        <m:oMath>
          <m:sSub>
            <m:sSubPr>
              <m:ctrlPr>
                <w:rPr>
                  <w:rFonts w:ascii="Cambria Math" w:hAnsi="Cambria Math"/>
                  <w:i/>
                </w:rPr>
              </m:ctrlPr>
            </m:sSubPr>
            <m:e>
              <m:r>
                <w:rPr>
                  <w:rFonts w:ascii="Cambria Math" w:hAnsi="Cambria Math"/>
                </w:rPr>
                <m:t>MV</m:t>
              </m:r>
            </m:e>
            <m:sub>
              <m:r>
                <w:rPr>
                  <w:rFonts w:ascii="Cambria Math" w:hAnsi="Cambria Math"/>
                </w:rPr>
                <m:t>x</m:t>
              </m:r>
            </m:sub>
          </m:sSub>
          <m:r>
            <w:rPr>
              <w:rFonts w:ascii="Cambria Math" w:hAnsi="Cambria Math"/>
            </w:rPr>
            <m:t>=(1-α)</m:t>
          </m:r>
          <m:f>
            <m:fPr>
              <m:ctrlPr>
                <w:rPr>
                  <w:rFonts w:ascii="Cambria Math" w:hAnsi="Cambria Math"/>
                  <w:i/>
                </w:rPr>
              </m:ctrlPr>
            </m:fPr>
            <m:num>
              <m:r>
                <w:rPr>
                  <w:rFonts w:ascii="Cambria Math" w:hAnsi="Cambria Math"/>
                </w:rPr>
                <m:t>p</m:t>
              </m:r>
            </m:num>
            <m:den>
              <m:r>
                <w:rPr>
                  <w:rFonts w:ascii="Cambria Math" w:hAnsi="Cambria Math"/>
                </w:rPr>
                <m:t>N</m:t>
              </m:r>
            </m:den>
          </m:f>
        </m:oMath>
      </m:oMathPara>
    </w:p>
    <w:p w14:paraId="5AD8799D" w14:textId="77777777" w:rsidR="00357BDF" w:rsidRPr="00583A03" w:rsidRDefault="00357BDF" w:rsidP="00357BDF">
      <w:pPr>
        <w:pStyle w:val="Listaconvietas"/>
        <w:numPr>
          <w:ilvl w:val="0"/>
          <w:numId w:val="0"/>
        </w:numPr>
        <w:spacing w:line="360" w:lineRule="auto"/>
        <w:jc w:val="both"/>
      </w:pPr>
    </w:p>
    <w:p w14:paraId="3DBE598C" w14:textId="7D6454D5" w:rsidR="00357BDF" w:rsidRPr="00583A03" w:rsidRDefault="00357BDF" w:rsidP="00357BDF">
      <w:pPr>
        <w:pStyle w:val="Listaconvietas"/>
        <w:numPr>
          <w:ilvl w:val="0"/>
          <w:numId w:val="0"/>
        </w:numPr>
        <w:spacing w:line="360" w:lineRule="auto"/>
        <w:jc w:val="both"/>
      </w:pPr>
      <w:r w:rsidRPr="00583A03">
        <w:t xml:space="preserve">Como </w:t>
      </w:r>
      <m:oMath>
        <m:d>
          <m:dPr>
            <m:ctrlPr>
              <w:rPr>
                <w:rFonts w:ascii="Cambria Math" w:hAnsi="Cambria Math"/>
                <w:i/>
              </w:rPr>
            </m:ctrlPr>
          </m:dPr>
          <m:e>
            <m:r>
              <w:rPr>
                <w:rFonts w:ascii="Cambria Math" w:hAnsi="Cambria Math"/>
              </w:rPr>
              <m:t>1-α</m:t>
            </m:r>
          </m:e>
        </m:d>
        <m:r>
          <w:rPr>
            <w:rFonts w:ascii="Cambria Math" w:hAnsi="Cambria Math"/>
          </w:rPr>
          <m:t>&lt;1,</m:t>
        </m:r>
      </m:oMath>
      <w:r w:rsidRPr="00583A03">
        <w:t xml:space="preserve"> </w:t>
      </w:r>
      <w:r w:rsidR="00D85230" w:rsidRPr="00583A03">
        <w:t>l</w:t>
      </w:r>
      <w:r w:rsidR="00931554" w:rsidRPr="00583A03">
        <w:t>a ecuación</w:t>
      </w:r>
      <w:r w:rsidRPr="00583A03">
        <w:t xml:space="preserve"> indica que la valuación marginal del bien público es menor que su costo de oportunidad per cápita. Dicho de otra manera:</w:t>
      </w:r>
    </w:p>
    <w:p w14:paraId="4A7E1DB6" w14:textId="77777777" w:rsidR="00357BDF" w:rsidRPr="00583A03" w:rsidRDefault="00357BDF" w:rsidP="00357BDF">
      <w:pPr>
        <w:pStyle w:val="Listaconvietas"/>
        <w:numPr>
          <w:ilvl w:val="0"/>
          <w:numId w:val="0"/>
        </w:numPr>
        <w:spacing w:line="360" w:lineRule="auto"/>
        <w:jc w:val="both"/>
      </w:pPr>
    </w:p>
    <w:p w14:paraId="63469E64" w14:textId="77777777" w:rsidR="00357BDF" w:rsidRPr="00583A03" w:rsidRDefault="00357BDF" w:rsidP="00357BDF">
      <w:pPr>
        <w:pStyle w:val="Listaconvietas"/>
        <w:numPr>
          <w:ilvl w:val="0"/>
          <w:numId w:val="0"/>
        </w:numPr>
        <w:spacing w:line="360" w:lineRule="auto"/>
        <w:jc w:val="both"/>
      </w:pPr>
      <m:oMath>
        <m:r>
          <w:rPr>
            <w:rFonts w:ascii="Cambria Math" w:hAnsi="Cambria Math"/>
          </w:rPr>
          <w:lastRenderedPageBreak/>
          <m:t>N.</m:t>
        </m:r>
        <m:sSub>
          <m:sSubPr>
            <m:ctrlPr>
              <w:rPr>
                <w:rFonts w:ascii="Cambria Math" w:hAnsi="Cambria Math"/>
                <w:i/>
              </w:rPr>
            </m:ctrlPr>
          </m:sSubPr>
          <m:e>
            <m:r>
              <w:rPr>
                <w:rFonts w:ascii="Cambria Math" w:hAnsi="Cambria Math"/>
              </w:rPr>
              <m:t>MV</m:t>
            </m:r>
          </m:e>
          <m:sub>
            <m:r>
              <w:rPr>
                <w:rFonts w:ascii="Cambria Math" w:hAnsi="Cambria Math"/>
              </w:rPr>
              <m:t>x</m:t>
            </m:r>
          </m:sub>
        </m:sSub>
        <m:r>
          <w:rPr>
            <w:rFonts w:ascii="Cambria Math" w:hAnsi="Cambria Math"/>
          </w:rPr>
          <m:t>&lt;p</m:t>
        </m:r>
      </m:oMath>
      <w:r w:rsidRPr="00583A03">
        <w:t xml:space="preserve"> </w:t>
      </w:r>
    </w:p>
    <w:p w14:paraId="273742EA" w14:textId="77777777" w:rsidR="00357BDF" w:rsidRPr="00583A03" w:rsidRDefault="00357BDF" w:rsidP="00357BDF">
      <w:pPr>
        <w:pStyle w:val="Listaconvietas"/>
        <w:numPr>
          <w:ilvl w:val="0"/>
          <w:numId w:val="0"/>
        </w:numPr>
        <w:spacing w:line="360" w:lineRule="auto"/>
        <w:jc w:val="both"/>
      </w:pPr>
    </w:p>
    <w:p w14:paraId="0E0EC3A8" w14:textId="109932D1" w:rsidR="00357BDF" w:rsidRPr="00D8653E" w:rsidRDefault="00357BDF" w:rsidP="00357BDF">
      <w:pPr>
        <w:pStyle w:val="Listaconvietas"/>
        <w:numPr>
          <w:ilvl w:val="0"/>
          <w:numId w:val="0"/>
        </w:numPr>
        <w:spacing w:line="360" w:lineRule="auto"/>
        <w:jc w:val="both"/>
      </w:pPr>
      <w:r w:rsidRPr="00583A03">
        <w:t xml:space="preserve">La valuación marginal social del bien público es menor que su costo de oportunidad (valor de los bienes privados sacrificados </w:t>
      </w:r>
      <w:r w:rsidR="00080767" w:rsidRPr="00583A03">
        <w:t>en</w:t>
      </w:r>
      <w:r w:rsidRPr="00583A03">
        <w:t xml:space="preserve"> su producción).</w:t>
      </w:r>
    </w:p>
    <w:p w14:paraId="6774C3CB" w14:textId="77777777" w:rsidR="00357BDF" w:rsidRPr="00D8653E" w:rsidRDefault="00357BDF" w:rsidP="00357BDF">
      <w:pPr>
        <w:pStyle w:val="Listaconvietas"/>
        <w:numPr>
          <w:ilvl w:val="0"/>
          <w:numId w:val="0"/>
        </w:numPr>
        <w:spacing w:line="360" w:lineRule="auto"/>
        <w:jc w:val="both"/>
      </w:pPr>
    </w:p>
    <w:p w14:paraId="6D83C815" w14:textId="5A2E39E1" w:rsidR="00BB0DEA" w:rsidRPr="00357BDF" w:rsidRDefault="00BB0DEA">
      <w:pPr>
        <w:rPr>
          <w:sz w:val="24"/>
          <w:szCs w:val="24"/>
          <w:u w:val="single"/>
          <w:lang w:val="es-MX"/>
        </w:rPr>
      </w:pPr>
      <w:r w:rsidRPr="00357BDF">
        <w:rPr>
          <w:u w:val="single"/>
          <w:lang w:val="es-MX"/>
        </w:rPr>
        <w:br w:type="page"/>
      </w:r>
    </w:p>
    <w:p w14:paraId="41ED4E3A" w14:textId="272C6367" w:rsidR="00DF73B1" w:rsidRPr="001A5299" w:rsidRDefault="00DF73B1" w:rsidP="00297A52">
      <w:pPr>
        <w:pStyle w:val="Listaconvietas"/>
        <w:numPr>
          <w:ilvl w:val="0"/>
          <w:numId w:val="0"/>
        </w:numPr>
        <w:spacing w:line="360" w:lineRule="auto"/>
        <w:jc w:val="both"/>
        <w:rPr>
          <w:b/>
          <w:bCs/>
          <w:i/>
          <w:lang w:val="af-ZA"/>
        </w:rPr>
      </w:pPr>
      <w:r w:rsidRPr="001A5299">
        <w:rPr>
          <w:b/>
          <w:bCs/>
          <w:lang w:val="af-ZA"/>
        </w:rPr>
        <w:lastRenderedPageBreak/>
        <w:t xml:space="preserve">Referencias </w:t>
      </w:r>
      <w:r w:rsidR="001A5299" w:rsidRPr="001A5299">
        <w:rPr>
          <w:b/>
          <w:bCs/>
          <w:lang w:val="af-ZA"/>
        </w:rPr>
        <w:t>b</w:t>
      </w:r>
      <w:r w:rsidRPr="001A5299">
        <w:rPr>
          <w:b/>
          <w:bCs/>
          <w:lang w:val="af-ZA"/>
        </w:rPr>
        <w:t>ibliográficas</w:t>
      </w:r>
    </w:p>
    <w:p w14:paraId="47DEEA5A" w14:textId="77777777" w:rsidR="00DF73B1" w:rsidRPr="00297A52" w:rsidRDefault="00DF73B1" w:rsidP="00297A52">
      <w:pPr>
        <w:pStyle w:val="Listaconvietas"/>
        <w:numPr>
          <w:ilvl w:val="0"/>
          <w:numId w:val="0"/>
        </w:numPr>
        <w:spacing w:line="360" w:lineRule="auto"/>
        <w:rPr>
          <w:lang w:val="en-US"/>
        </w:rPr>
      </w:pPr>
    </w:p>
    <w:p w14:paraId="4DD14C05" w14:textId="77777777" w:rsidR="00DF73B1" w:rsidRPr="00297A52" w:rsidRDefault="00DF73B1" w:rsidP="00297A52">
      <w:pPr>
        <w:pStyle w:val="Listaconvietas"/>
        <w:numPr>
          <w:ilvl w:val="0"/>
          <w:numId w:val="0"/>
        </w:numPr>
        <w:spacing w:line="360" w:lineRule="auto"/>
        <w:jc w:val="both"/>
        <w:rPr>
          <w:lang w:val="af-ZA"/>
        </w:rPr>
      </w:pPr>
      <w:r w:rsidRPr="00297A52">
        <w:rPr>
          <w:lang w:val="af-ZA"/>
        </w:rPr>
        <w:t>Baldrich, J. (2008): “Taxing our neighbors? Why some subnational revenues are so small?” Documento de trabajo, Universidad de San Andrés, noviembre.</w:t>
      </w:r>
    </w:p>
    <w:p w14:paraId="715E4709" w14:textId="77777777" w:rsidR="00DF73B1" w:rsidRPr="00297A52" w:rsidRDefault="00DF73B1" w:rsidP="00297A52">
      <w:pPr>
        <w:pStyle w:val="Listaconvietas"/>
        <w:numPr>
          <w:ilvl w:val="0"/>
          <w:numId w:val="0"/>
        </w:numPr>
        <w:spacing w:line="360" w:lineRule="auto"/>
        <w:jc w:val="both"/>
        <w:rPr>
          <w:lang w:val="af-ZA"/>
        </w:rPr>
      </w:pPr>
    </w:p>
    <w:p w14:paraId="48D821B3" w14:textId="77777777" w:rsidR="00DF73B1" w:rsidRPr="00297A52" w:rsidRDefault="00DF73B1" w:rsidP="00297A52">
      <w:pPr>
        <w:pStyle w:val="Listaconvietas"/>
        <w:numPr>
          <w:ilvl w:val="0"/>
          <w:numId w:val="0"/>
        </w:numPr>
        <w:spacing w:line="360" w:lineRule="auto"/>
        <w:jc w:val="both"/>
        <w:rPr>
          <w:lang w:val="af-ZA"/>
        </w:rPr>
      </w:pPr>
      <w:r w:rsidRPr="00297A52">
        <w:rPr>
          <w:lang w:val="af-ZA"/>
        </w:rPr>
        <w:t xml:space="preserve">Benegas Lynch h., A. y C. Jackisch (2004): </w:t>
      </w:r>
      <w:r w:rsidRPr="00297A52">
        <w:rPr>
          <w:u w:val="single"/>
          <w:lang w:val="af-ZA"/>
        </w:rPr>
        <w:t>Límites al Poder</w:t>
      </w:r>
      <w:r w:rsidRPr="00297A52">
        <w:rPr>
          <w:lang w:val="af-ZA"/>
        </w:rPr>
        <w:t xml:space="preserve">. </w:t>
      </w:r>
      <w:r w:rsidRPr="00297A52">
        <w:rPr>
          <w:u w:val="single"/>
          <w:lang w:val="af-ZA"/>
        </w:rPr>
        <w:t>Los Papeles Antifederalistas</w:t>
      </w:r>
      <w:r w:rsidRPr="00297A52">
        <w:rPr>
          <w:lang w:val="af-ZA"/>
        </w:rPr>
        <w:t>. Fundación Friedrich A. von Hayek-Ediciones Lumiere.</w:t>
      </w:r>
    </w:p>
    <w:p w14:paraId="2691AC91" w14:textId="77777777" w:rsidR="00DF73B1" w:rsidRPr="00297A52" w:rsidRDefault="00DF73B1" w:rsidP="00297A52">
      <w:pPr>
        <w:pStyle w:val="Listaconvietas"/>
        <w:numPr>
          <w:ilvl w:val="0"/>
          <w:numId w:val="0"/>
        </w:numPr>
        <w:spacing w:line="360" w:lineRule="auto"/>
        <w:jc w:val="both"/>
        <w:rPr>
          <w:lang w:val="af-ZA"/>
        </w:rPr>
      </w:pPr>
    </w:p>
    <w:p w14:paraId="3D95F6AA" w14:textId="77777777" w:rsidR="00DF73B1" w:rsidRPr="00297A52" w:rsidRDefault="00DF73B1" w:rsidP="00297A52">
      <w:pPr>
        <w:pStyle w:val="Listaconvietas"/>
        <w:numPr>
          <w:ilvl w:val="0"/>
          <w:numId w:val="0"/>
        </w:numPr>
        <w:spacing w:line="360" w:lineRule="auto"/>
        <w:jc w:val="both"/>
        <w:rPr>
          <w:lang w:val="af-ZA"/>
        </w:rPr>
      </w:pPr>
      <w:r w:rsidRPr="00297A52">
        <w:rPr>
          <w:lang w:val="af-ZA"/>
        </w:rPr>
        <w:t xml:space="preserve">Brennan, G. y J. Buchanan (1980): </w:t>
      </w:r>
      <w:r w:rsidRPr="00297A52">
        <w:rPr>
          <w:u w:val="single"/>
          <w:lang w:val="af-ZA"/>
        </w:rPr>
        <w:t>The Power to Tax</w:t>
      </w:r>
      <w:r w:rsidRPr="00297A52">
        <w:rPr>
          <w:lang w:val="af-ZA"/>
        </w:rPr>
        <w:t xml:space="preserve">. </w:t>
      </w:r>
      <w:r w:rsidRPr="00297A52">
        <w:rPr>
          <w:u w:val="single"/>
          <w:lang w:val="af-ZA"/>
        </w:rPr>
        <w:t>Analytical Foundations of a Fiscal Constitution</w:t>
      </w:r>
      <w:r w:rsidRPr="00297A52">
        <w:rPr>
          <w:lang w:val="af-ZA"/>
        </w:rPr>
        <w:t>. Cambridge University Press.</w:t>
      </w:r>
    </w:p>
    <w:p w14:paraId="3D24B63E" w14:textId="77777777" w:rsidR="00DF73B1" w:rsidRPr="00297A52" w:rsidRDefault="00DF73B1" w:rsidP="00297A52">
      <w:pPr>
        <w:pStyle w:val="Listaconvietas"/>
        <w:numPr>
          <w:ilvl w:val="0"/>
          <w:numId w:val="0"/>
        </w:numPr>
        <w:spacing w:line="360" w:lineRule="auto"/>
        <w:jc w:val="both"/>
        <w:rPr>
          <w:lang w:val="af-ZA"/>
        </w:rPr>
      </w:pPr>
    </w:p>
    <w:p w14:paraId="4470443C" w14:textId="77777777" w:rsidR="00DF73B1" w:rsidRPr="00297A52" w:rsidRDefault="00DF73B1" w:rsidP="00297A52">
      <w:pPr>
        <w:pStyle w:val="Listaconvietas"/>
        <w:numPr>
          <w:ilvl w:val="0"/>
          <w:numId w:val="0"/>
        </w:numPr>
        <w:spacing w:line="360" w:lineRule="auto"/>
        <w:jc w:val="both"/>
        <w:rPr>
          <w:lang w:val="af-ZA"/>
        </w:rPr>
      </w:pPr>
      <w:r w:rsidRPr="00297A52">
        <w:rPr>
          <w:lang w:val="af-ZA"/>
        </w:rPr>
        <w:t xml:space="preserve">CEA (2000): </w:t>
      </w:r>
      <w:r w:rsidRPr="00297A52">
        <w:rPr>
          <w:u w:val="single"/>
          <w:lang w:val="af-ZA"/>
        </w:rPr>
        <w:t>Propuesta de Federalismo Fiscal</w:t>
      </w:r>
      <w:r w:rsidRPr="00297A52">
        <w:rPr>
          <w:lang w:val="af-ZA"/>
        </w:rPr>
        <w:t>. Consejo Empresario Argentino.</w:t>
      </w:r>
    </w:p>
    <w:p w14:paraId="21F6983A" w14:textId="77777777" w:rsidR="00DF73B1" w:rsidRPr="00297A52" w:rsidRDefault="00DF73B1" w:rsidP="00297A52">
      <w:pPr>
        <w:pStyle w:val="Listaconvietas"/>
        <w:numPr>
          <w:ilvl w:val="0"/>
          <w:numId w:val="0"/>
        </w:numPr>
        <w:spacing w:line="360" w:lineRule="auto"/>
        <w:jc w:val="both"/>
        <w:rPr>
          <w:lang w:val="af-ZA"/>
        </w:rPr>
      </w:pPr>
    </w:p>
    <w:p w14:paraId="0C3AA82A" w14:textId="77777777" w:rsidR="00DF73B1" w:rsidRPr="00297A52" w:rsidRDefault="00DF73B1" w:rsidP="00297A52">
      <w:pPr>
        <w:pStyle w:val="Textonotapie"/>
        <w:spacing w:line="360" w:lineRule="auto"/>
        <w:jc w:val="both"/>
        <w:rPr>
          <w:sz w:val="24"/>
          <w:szCs w:val="24"/>
          <w:lang w:val="es-MX"/>
        </w:rPr>
      </w:pPr>
      <w:r w:rsidRPr="00297A52">
        <w:rPr>
          <w:sz w:val="24"/>
          <w:szCs w:val="24"/>
          <w:lang w:val="es-MX"/>
        </w:rPr>
        <w:t xml:space="preserve">FIEL (1993): </w:t>
      </w:r>
      <w:r w:rsidRPr="00297A52">
        <w:rPr>
          <w:sz w:val="24"/>
          <w:szCs w:val="24"/>
          <w:u w:val="single"/>
          <w:lang w:val="es-MX"/>
        </w:rPr>
        <w:t>Hacia una Nueva Organización del Federalismo Fiscal en la Argentina</w:t>
      </w:r>
      <w:r w:rsidRPr="00297A52">
        <w:rPr>
          <w:sz w:val="24"/>
          <w:szCs w:val="24"/>
          <w:lang w:val="es-MX"/>
        </w:rPr>
        <w:t xml:space="preserve">. </w:t>
      </w:r>
      <w:r w:rsidRPr="00297A52">
        <w:rPr>
          <w:sz w:val="24"/>
          <w:szCs w:val="24"/>
          <w:lang w:val="af-ZA"/>
        </w:rPr>
        <w:t>Fundación de Investigaciones Económicas Latinoamericanas</w:t>
      </w:r>
      <w:r w:rsidRPr="00297A52">
        <w:rPr>
          <w:sz w:val="24"/>
          <w:szCs w:val="24"/>
          <w:lang w:val="es-MX"/>
        </w:rPr>
        <w:t>.</w:t>
      </w:r>
    </w:p>
    <w:p w14:paraId="4152047C" w14:textId="77777777" w:rsidR="00DF73B1" w:rsidRPr="00297A52" w:rsidRDefault="00DF73B1" w:rsidP="00297A52">
      <w:pPr>
        <w:pStyle w:val="Textonotapie"/>
        <w:spacing w:line="360" w:lineRule="auto"/>
        <w:jc w:val="both"/>
        <w:rPr>
          <w:sz w:val="24"/>
          <w:szCs w:val="24"/>
          <w:lang w:val="es-MX"/>
        </w:rPr>
      </w:pPr>
    </w:p>
    <w:p w14:paraId="0282EFDA" w14:textId="77777777" w:rsidR="00DF73B1" w:rsidRPr="00297A52" w:rsidRDefault="00DF73B1" w:rsidP="00297A52">
      <w:pPr>
        <w:pStyle w:val="Textonotapie"/>
        <w:spacing w:line="360" w:lineRule="auto"/>
        <w:jc w:val="both"/>
        <w:rPr>
          <w:sz w:val="24"/>
          <w:szCs w:val="24"/>
          <w:lang w:val="es-MX"/>
        </w:rPr>
      </w:pPr>
      <w:r w:rsidRPr="00297A52">
        <w:rPr>
          <w:sz w:val="24"/>
          <w:szCs w:val="24"/>
          <w:lang w:val="af-ZA"/>
        </w:rPr>
        <w:t>Goldman</w:t>
      </w:r>
      <w:r w:rsidRPr="00297A52">
        <w:rPr>
          <w:sz w:val="24"/>
          <w:szCs w:val="24"/>
          <w:lang w:val="es-MX"/>
        </w:rPr>
        <w:t xml:space="preserve">, N. (1998): “Los orígenes del federalismo rioplatense (1820-1831).” N. </w:t>
      </w:r>
      <w:r w:rsidRPr="00297A52">
        <w:rPr>
          <w:sz w:val="24"/>
          <w:szCs w:val="24"/>
          <w:lang w:val="af-ZA"/>
        </w:rPr>
        <w:t>Goldman</w:t>
      </w:r>
      <w:r w:rsidRPr="00297A52">
        <w:rPr>
          <w:sz w:val="24"/>
          <w:szCs w:val="24"/>
          <w:lang w:val="es-MX"/>
        </w:rPr>
        <w:t xml:space="preserve"> (</w:t>
      </w:r>
      <w:proofErr w:type="spellStart"/>
      <w:r w:rsidRPr="00297A52">
        <w:rPr>
          <w:sz w:val="24"/>
          <w:szCs w:val="24"/>
          <w:lang w:val="es-MX"/>
        </w:rPr>
        <w:t>comp.</w:t>
      </w:r>
      <w:proofErr w:type="spellEnd"/>
      <w:r w:rsidRPr="00297A52">
        <w:rPr>
          <w:sz w:val="24"/>
          <w:szCs w:val="24"/>
          <w:lang w:val="es-MX"/>
        </w:rPr>
        <w:t xml:space="preserve">): </w:t>
      </w:r>
      <w:r w:rsidRPr="00297A52">
        <w:rPr>
          <w:sz w:val="24"/>
          <w:szCs w:val="24"/>
          <w:u w:val="single"/>
          <w:lang w:val="es-MX"/>
        </w:rPr>
        <w:t>Nueva Historia Argentina</w:t>
      </w:r>
      <w:r w:rsidRPr="00297A52">
        <w:rPr>
          <w:sz w:val="24"/>
          <w:szCs w:val="24"/>
          <w:lang w:val="es-MX"/>
        </w:rPr>
        <w:t xml:space="preserve">. </w:t>
      </w:r>
      <w:r w:rsidRPr="00297A52">
        <w:rPr>
          <w:sz w:val="24"/>
          <w:szCs w:val="24"/>
          <w:u w:val="single"/>
          <w:lang w:val="es-MX"/>
        </w:rPr>
        <w:t>Revolución, República, Confederación (1806-1852)</w:t>
      </w:r>
      <w:r w:rsidRPr="00297A52">
        <w:rPr>
          <w:sz w:val="24"/>
          <w:szCs w:val="24"/>
          <w:lang w:val="es-MX"/>
        </w:rPr>
        <w:t>. Editorial Sudamericana.</w:t>
      </w:r>
    </w:p>
    <w:p w14:paraId="743839C3" w14:textId="77777777" w:rsidR="00DF73B1" w:rsidRPr="00297A52" w:rsidRDefault="00DF73B1" w:rsidP="00297A52">
      <w:pPr>
        <w:pStyle w:val="Listaconvietas"/>
        <w:numPr>
          <w:ilvl w:val="0"/>
          <w:numId w:val="0"/>
        </w:numPr>
        <w:spacing w:line="360" w:lineRule="auto"/>
        <w:jc w:val="both"/>
        <w:rPr>
          <w:lang w:val="af-ZA"/>
        </w:rPr>
      </w:pPr>
    </w:p>
    <w:p w14:paraId="2C0CD731" w14:textId="77777777" w:rsidR="00DF73B1" w:rsidRPr="00297A52" w:rsidRDefault="00DF73B1" w:rsidP="00297A52">
      <w:pPr>
        <w:pStyle w:val="Listaconvietas"/>
        <w:numPr>
          <w:ilvl w:val="0"/>
          <w:numId w:val="0"/>
        </w:numPr>
        <w:spacing w:line="360" w:lineRule="auto"/>
        <w:jc w:val="both"/>
        <w:rPr>
          <w:lang w:val="af-ZA"/>
        </w:rPr>
      </w:pPr>
      <w:r w:rsidRPr="00297A52">
        <w:rPr>
          <w:lang w:val="af-ZA"/>
        </w:rPr>
        <w:t>Jones, M., O. Meloni y M. Tommasi (2008): “Voters as fiscal liberals. Incentives and accountability in federal systems.” Seminario de Economía, UCEMA, diciembre.</w:t>
      </w:r>
    </w:p>
    <w:p w14:paraId="03A84C32" w14:textId="77777777" w:rsidR="00DF73B1" w:rsidRPr="00297A52" w:rsidRDefault="00DF73B1" w:rsidP="00297A52">
      <w:pPr>
        <w:pStyle w:val="Listaconvietas"/>
        <w:numPr>
          <w:ilvl w:val="0"/>
          <w:numId w:val="0"/>
        </w:numPr>
        <w:spacing w:line="360" w:lineRule="auto"/>
        <w:jc w:val="both"/>
        <w:rPr>
          <w:lang w:val="af-ZA"/>
        </w:rPr>
      </w:pPr>
    </w:p>
    <w:p w14:paraId="6A7FC206" w14:textId="77777777" w:rsidR="00DF73B1" w:rsidRPr="00297A52" w:rsidRDefault="00DF73B1" w:rsidP="00297A52">
      <w:pPr>
        <w:pStyle w:val="Listaconvietas"/>
        <w:numPr>
          <w:ilvl w:val="0"/>
          <w:numId w:val="0"/>
        </w:numPr>
        <w:spacing w:line="360" w:lineRule="auto"/>
        <w:jc w:val="both"/>
        <w:rPr>
          <w:lang w:val="af-ZA"/>
        </w:rPr>
      </w:pPr>
      <w:r w:rsidRPr="00297A52">
        <w:rPr>
          <w:lang w:val="af-ZA"/>
        </w:rPr>
        <w:t xml:space="preserve">Musgrave, R. y J. Buchanan (1999): </w:t>
      </w:r>
      <w:r w:rsidRPr="00297A52">
        <w:rPr>
          <w:u w:val="single"/>
          <w:lang w:val="af-ZA"/>
        </w:rPr>
        <w:t>Public Finance and Public Choice</w:t>
      </w:r>
      <w:r w:rsidRPr="00297A52">
        <w:rPr>
          <w:lang w:val="af-ZA"/>
        </w:rPr>
        <w:t>. The MIT Press.</w:t>
      </w:r>
    </w:p>
    <w:p w14:paraId="4243524C" w14:textId="77777777" w:rsidR="00DF73B1" w:rsidRPr="00297A52" w:rsidRDefault="00DF73B1" w:rsidP="00297A52">
      <w:pPr>
        <w:pStyle w:val="Listaconvietas"/>
        <w:numPr>
          <w:ilvl w:val="0"/>
          <w:numId w:val="0"/>
        </w:numPr>
        <w:spacing w:line="360" w:lineRule="auto"/>
        <w:jc w:val="both"/>
        <w:rPr>
          <w:lang w:val="af-ZA"/>
        </w:rPr>
      </w:pPr>
    </w:p>
    <w:p w14:paraId="2BB8F997" w14:textId="77777777" w:rsidR="00DF73B1" w:rsidRPr="00297A52" w:rsidRDefault="00DF73B1" w:rsidP="00297A52">
      <w:pPr>
        <w:pStyle w:val="Listaconvietas"/>
        <w:numPr>
          <w:ilvl w:val="0"/>
          <w:numId w:val="0"/>
        </w:numPr>
        <w:spacing w:line="360" w:lineRule="auto"/>
        <w:jc w:val="both"/>
        <w:rPr>
          <w:lang w:val="af-ZA"/>
        </w:rPr>
      </w:pPr>
      <w:r w:rsidRPr="00297A52">
        <w:rPr>
          <w:lang w:val="af-ZA"/>
        </w:rPr>
        <w:t xml:space="preserve">Oates, W. (1991a): “The Public Sector in Economics: An Analytical Chameleon.” W. Oates (1991): </w:t>
      </w:r>
      <w:r w:rsidRPr="00297A52">
        <w:rPr>
          <w:u w:val="single"/>
          <w:lang w:val="af-ZA"/>
        </w:rPr>
        <w:t>Studies in Fiscal Federalism</w:t>
      </w:r>
      <w:r w:rsidRPr="00297A52">
        <w:rPr>
          <w:lang w:val="af-ZA"/>
        </w:rPr>
        <w:t>. Edward Elgar Publishing Limited.</w:t>
      </w:r>
    </w:p>
    <w:p w14:paraId="724BD05F" w14:textId="77777777" w:rsidR="00DF73B1" w:rsidRPr="00297A52" w:rsidRDefault="00DF73B1" w:rsidP="00297A52">
      <w:pPr>
        <w:pStyle w:val="Listaconvietas"/>
        <w:numPr>
          <w:ilvl w:val="0"/>
          <w:numId w:val="0"/>
        </w:numPr>
        <w:spacing w:line="360" w:lineRule="auto"/>
        <w:jc w:val="both"/>
        <w:rPr>
          <w:lang w:val="af-ZA"/>
        </w:rPr>
      </w:pPr>
    </w:p>
    <w:p w14:paraId="6185C764" w14:textId="77777777" w:rsidR="00DF73B1" w:rsidRPr="00297A52" w:rsidRDefault="00DF73B1" w:rsidP="00297A52">
      <w:pPr>
        <w:pStyle w:val="Listaconvietas"/>
        <w:numPr>
          <w:ilvl w:val="0"/>
          <w:numId w:val="0"/>
        </w:numPr>
        <w:spacing w:line="360" w:lineRule="auto"/>
        <w:jc w:val="both"/>
        <w:rPr>
          <w:lang w:val="af-ZA"/>
        </w:rPr>
      </w:pPr>
      <w:r w:rsidRPr="00297A52">
        <w:rPr>
          <w:lang w:val="af-ZA"/>
        </w:rPr>
        <w:t>Oates, W. (1991b): “Searching for Leviathan: A Reply and Some Further Reflections</w:t>
      </w:r>
      <w:r w:rsidR="003F1FFC" w:rsidRPr="00297A52">
        <w:rPr>
          <w:lang w:val="af-ZA"/>
        </w:rPr>
        <w:t>.</w:t>
      </w:r>
      <w:r w:rsidRPr="00297A52">
        <w:rPr>
          <w:lang w:val="af-ZA"/>
        </w:rPr>
        <w:t>” Oates, op. cit.</w:t>
      </w:r>
    </w:p>
    <w:p w14:paraId="643F4355" w14:textId="77777777" w:rsidR="00DF73B1" w:rsidRPr="00297A52" w:rsidRDefault="00DF73B1" w:rsidP="00297A52">
      <w:pPr>
        <w:pStyle w:val="Listaconvietas"/>
        <w:numPr>
          <w:ilvl w:val="0"/>
          <w:numId w:val="0"/>
        </w:numPr>
        <w:spacing w:line="360" w:lineRule="auto"/>
        <w:jc w:val="both"/>
        <w:rPr>
          <w:lang w:val="af-ZA"/>
        </w:rPr>
      </w:pPr>
    </w:p>
    <w:p w14:paraId="6A070551" w14:textId="77777777" w:rsidR="00DF73B1" w:rsidRPr="00297A52" w:rsidRDefault="00DF73B1" w:rsidP="00297A52">
      <w:pPr>
        <w:pStyle w:val="Listaconvietas"/>
        <w:numPr>
          <w:ilvl w:val="0"/>
          <w:numId w:val="0"/>
        </w:numPr>
        <w:spacing w:line="360" w:lineRule="auto"/>
        <w:jc w:val="both"/>
        <w:rPr>
          <w:lang w:val="af-ZA"/>
        </w:rPr>
      </w:pPr>
      <w:r w:rsidRPr="00297A52">
        <w:rPr>
          <w:lang w:val="af-ZA"/>
        </w:rPr>
        <w:lastRenderedPageBreak/>
        <w:t>Oates, W. (1991c): “On the Nature and Measurement of Fiscal Illusion: A Survey.” Oates, op. cit.</w:t>
      </w:r>
    </w:p>
    <w:p w14:paraId="2A63F4C8" w14:textId="77777777" w:rsidR="00DF73B1" w:rsidRPr="00297A52" w:rsidRDefault="00DF73B1" w:rsidP="00297A52">
      <w:pPr>
        <w:pStyle w:val="Listaconvietas"/>
        <w:numPr>
          <w:ilvl w:val="0"/>
          <w:numId w:val="0"/>
        </w:numPr>
        <w:spacing w:line="360" w:lineRule="auto"/>
        <w:jc w:val="both"/>
        <w:rPr>
          <w:lang w:val="af-ZA"/>
        </w:rPr>
      </w:pPr>
    </w:p>
    <w:p w14:paraId="57B255E6" w14:textId="77777777" w:rsidR="00DF73B1" w:rsidRPr="00297A52" w:rsidRDefault="00DF73B1" w:rsidP="00297A52">
      <w:pPr>
        <w:pStyle w:val="Listaconvietas"/>
        <w:numPr>
          <w:ilvl w:val="0"/>
          <w:numId w:val="0"/>
        </w:numPr>
        <w:spacing w:line="360" w:lineRule="auto"/>
        <w:jc w:val="both"/>
        <w:rPr>
          <w:lang w:val="af-ZA"/>
        </w:rPr>
      </w:pPr>
      <w:r w:rsidRPr="00297A52">
        <w:rPr>
          <w:lang w:val="af-ZA"/>
        </w:rPr>
        <w:t xml:space="preserve">Porto, A. (1990): </w:t>
      </w:r>
      <w:r w:rsidRPr="00297A52">
        <w:rPr>
          <w:u w:val="single"/>
          <w:lang w:val="af-ZA"/>
        </w:rPr>
        <w:t>Federalismo Fiscal: El caso argentino</w:t>
      </w:r>
      <w:r w:rsidRPr="00297A52">
        <w:rPr>
          <w:lang w:val="af-ZA"/>
        </w:rPr>
        <w:t>. Editorial Tesis.</w:t>
      </w:r>
    </w:p>
    <w:p w14:paraId="6F965010" w14:textId="77777777" w:rsidR="00DF73B1" w:rsidRPr="00297A52" w:rsidRDefault="00DF73B1" w:rsidP="00297A52">
      <w:pPr>
        <w:pStyle w:val="Listaconvietas"/>
        <w:numPr>
          <w:ilvl w:val="0"/>
          <w:numId w:val="0"/>
        </w:numPr>
        <w:spacing w:line="360" w:lineRule="auto"/>
        <w:jc w:val="both"/>
        <w:rPr>
          <w:lang w:val="af-ZA"/>
        </w:rPr>
      </w:pPr>
    </w:p>
    <w:p w14:paraId="748A6B26" w14:textId="77777777" w:rsidR="00DF73B1" w:rsidRPr="00297A52" w:rsidRDefault="00DF73B1" w:rsidP="00297A52">
      <w:pPr>
        <w:pStyle w:val="Listaconvietas"/>
        <w:numPr>
          <w:ilvl w:val="0"/>
          <w:numId w:val="0"/>
        </w:numPr>
        <w:spacing w:line="360" w:lineRule="auto"/>
        <w:jc w:val="both"/>
        <w:rPr>
          <w:lang w:val="af-ZA"/>
        </w:rPr>
      </w:pPr>
      <w:r w:rsidRPr="00297A52">
        <w:rPr>
          <w:lang w:val="af-ZA"/>
        </w:rPr>
        <w:t>Schmit, R. (1998): “El comercio y las finanzas públicas en los estados provinciales.” Goldman, op. cit.</w:t>
      </w:r>
    </w:p>
    <w:p w14:paraId="7D3D7C06" w14:textId="77777777" w:rsidR="00DF73B1" w:rsidRPr="00297A52" w:rsidRDefault="00DF73B1" w:rsidP="00297A52">
      <w:pPr>
        <w:pStyle w:val="Listaconvietas"/>
        <w:numPr>
          <w:ilvl w:val="0"/>
          <w:numId w:val="0"/>
        </w:numPr>
        <w:spacing w:line="360" w:lineRule="auto"/>
        <w:jc w:val="both"/>
        <w:rPr>
          <w:lang w:val="af-ZA"/>
        </w:rPr>
      </w:pPr>
    </w:p>
    <w:p w14:paraId="3ACBEFAF" w14:textId="77777777" w:rsidR="00C21B7F" w:rsidRPr="00297A52" w:rsidRDefault="00DF73B1" w:rsidP="00297A52">
      <w:pPr>
        <w:tabs>
          <w:tab w:val="left" w:pos="432"/>
          <w:tab w:val="left" w:pos="8504"/>
        </w:tabs>
        <w:spacing w:line="360" w:lineRule="auto"/>
        <w:ind w:right="-1"/>
        <w:jc w:val="both"/>
        <w:rPr>
          <w:b/>
          <w:i/>
          <w:sz w:val="24"/>
          <w:szCs w:val="24"/>
          <w:lang w:val="es-AR"/>
        </w:rPr>
      </w:pPr>
      <w:r w:rsidRPr="00297A52">
        <w:rPr>
          <w:sz w:val="24"/>
          <w:szCs w:val="24"/>
          <w:lang w:val="af-ZA"/>
        </w:rPr>
        <w:t xml:space="preserve">Schwartz, G. y C. Liuksila (1997): “Argentina.” Teresa Ter-Minassian (ed.): </w:t>
      </w:r>
      <w:r w:rsidRPr="00297A52">
        <w:rPr>
          <w:sz w:val="24"/>
          <w:szCs w:val="24"/>
          <w:u w:val="single"/>
          <w:lang w:val="af-ZA"/>
        </w:rPr>
        <w:t>Fiscal Federalism in Theory and Practice</w:t>
      </w:r>
      <w:r w:rsidRPr="00297A52">
        <w:rPr>
          <w:sz w:val="24"/>
          <w:szCs w:val="24"/>
          <w:lang w:val="af-ZA"/>
        </w:rPr>
        <w:t xml:space="preserve">. </w:t>
      </w:r>
      <w:r w:rsidR="003A01B4" w:rsidRPr="00297A52">
        <w:rPr>
          <w:sz w:val="24"/>
          <w:szCs w:val="24"/>
          <w:lang w:val="es-AR"/>
        </w:rPr>
        <w:t>FMI.</w:t>
      </w:r>
    </w:p>
    <w:p w14:paraId="3CB6F001" w14:textId="77777777" w:rsidR="00C21B7F" w:rsidRPr="00297A52" w:rsidRDefault="00C21B7F" w:rsidP="00297A52">
      <w:pPr>
        <w:spacing w:line="360" w:lineRule="auto"/>
        <w:rPr>
          <w:sz w:val="24"/>
          <w:szCs w:val="24"/>
          <w:lang w:val="es-ES"/>
        </w:rPr>
      </w:pPr>
    </w:p>
    <w:sectPr w:rsidR="00C21B7F" w:rsidRPr="00297A52" w:rsidSect="005E17DD">
      <w:headerReference w:type="even" r:id="rId52"/>
      <w:headerReference w:type="default" r:id="rId53"/>
      <w:footerReference w:type="default" r:id="rId54"/>
      <w:headerReference w:type="first" r:id="rId55"/>
      <w:footerReference w:type="first" r:id="rId56"/>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61060" w14:textId="77777777" w:rsidR="002432A8" w:rsidRDefault="002432A8">
      <w:r>
        <w:separator/>
      </w:r>
    </w:p>
  </w:endnote>
  <w:endnote w:type="continuationSeparator" w:id="0">
    <w:p w14:paraId="4629A6A0" w14:textId="77777777" w:rsidR="002432A8" w:rsidRDefault="0024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207F8" w14:textId="5B794609" w:rsidR="00CF0093" w:rsidRPr="003F7368" w:rsidRDefault="00CF0093" w:rsidP="005E17DD">
    <w:pPr>
      <w:pStyle w:val="Piedepgina"/>
      <w:jc w:val="right"/>
    </w:pPr>
    <w:r w:rsidRPr="003F7368">
      <w:fldChar w:fldCharType="begin"/>
    </w:r>
    <w:r w:rsidRPr="003F7368">
      <w:instrText>PAGE   \* MERGEFORMAT</w:instrText>
    </w:r>
    <w:r w:rsidRPr="003F7368">
      <w:fldChar w:fldCharType="separate"/>
    </w:r>
    <w:r w:rsidR="001271BC">
      <w:rPr>
        <w:noProof/>
      </w:rPr>
      <w:t>31</w:t>
    </w:r>
    <w:r w:rsidRPr="003F7368">
      <w:fldChar w:fldCharType="end"/>
    </w:r>
    <w:r w:rsidRPr="003F7368">
      <w:t xml:space="preserve"> /RIIM </w:t>
    </w:r>
    <w:r>
      <w:t>70</w:t>
    </w:r>
    <w:r w:rsidRPr="003F7368">
      <w:t xml:space="preserve">, </w:t>
    </w:r>
    <w:proofErr w:type="spellStart"/>
    <w:r>
      <w:t>Octubre</w:t>
    </w:r>
    <w:proofErr w:type="spellEnd"/>
    <w:r w:rsidRPr="003F7368">
      <w:t xml:space="preserve"> 20</w:t>
    </w:r>
    <w:r>
      <w:t>20</w:t>
    </w:r>
  </w:p>
  <w:p w14:paraId="42A19C66" w14:textId="77777777" w:rsidR="00CF0093" w:rsidRDefault="00CF00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5333220"/>
      <w:docPartObj>
        <w:docPartGallery w:val="Page Numbers (Bottom of Page)"/>
        <w:docPartUnique/>
      </w:docPartObj>
    </w:sdtPr>
    <w:sdtEndPr/>
    <w:sdtContent>
      <w:p w14:paraId="486EA9BA" w14:textId="74338A16" w:rsidR="00CF0093" w:rsidRPr="005E17DD" w:rsidRDefault="00CF0093" w:rsidP="005E17DD">
        <w:pPr>
          <w:pStyle w:val="Piedepgina"/>
          <w:jc w:val="right"/>
          <w:rPr>
            <w:rFonts w:eastAsia="Calibri"/>
            <w:lang w:val="es-AR" w:eastAsia="en-US"/>
          </w:rPr>
        </w:pPr>
        <w:r w:rsidRPr="005E17DD">
          <w:rPr>
            <w:rFonts w:eastAsia="Calibri"/>
            <w:lang w:val="es-AR" w:eastAsia="en-US"/>
          </w:rPr>
          <w:fldChar w:fldCharType="begin"/>
        </w:r>
        <w:r w:rsidRPr="005E17DD">
          <w:rPr>
            <w:rFonts w:eastAsia="Calibri"/>
            <w:lang w:val="es-AR" w:eastAsia="en-US"/>
          </w:rPr>
          <w:instrText>PAGE   \* MERGEFORMAT</w:instrText>
        </w:r>
        <w:r w:rsidRPr="005E17DD">
          <w:rPr>
            <w:rFonts w:eastAsia="Calibri"/>
            <w:lang w:val="es-AR" w:eastAsia="en-US"/>
          </w:rPr>
          <w:fldChar w:fldCharType="separate"/>
        </w:r>
        <w:r w:rsidR="00A769BF" w:rsidRPr="00A769BF">
          <w:rPr>
            <w:rFonts w:ascii="Calibri" w:eastAsia="Calibri" w:hAnsi="Calibri"/>
            <w:noProof/>
            <w:lang w:val="es-AR" w:eastAsia="en-US"/>
          </w:rPr>
          <w:t>1</w:t>
        </w:r>
        <w:r w:rsidRPr="005E17DD">
          <w:rPr>
            <w:rFonts w:eastAsia="Calibri"/>
            <w:lang w:val="es-AR" w:eastAsia="en-US"/>
          </w:rPr>
          <w:fldChar w:fldCharType="end"/>
        </w:r>
        <w:r w:rsidRPr="005E17DD">
          <w:rPr>
            <w:rFonts w:eastAsia="Calibri"/>
            <w:lang w:val="es-AR" w:eastAsia="en-US"/>
          </w:rPr>
          <w:t xml:space="preserve"> /RIIM 70, </w:t>
        </w:r>
        <w:r>
          <w:rPr>
            <w:rFonts w:eastAsia="Calibri"/>
            <w:lang w:val="es-AR" w:eastAsia="en-US"/>
          </w:rPr>
          <w:t>Octubre</w:t>
        </w:r>
        <w:r w:rsidRPr="005E17DD">
          <w:rPr>
            <w:rFonts w:eastAsia="Calibri"/>
            <w:lang w:val="es-AR" w:eastAsia="en-US"/>
          </w:rPr>
          <w:t xml:space="preserve"> 202</w:t>
        </w:r>
        <w:r>
          <w:rPr>
            <w:rFonts w:eastAsia="Calibri"/>
            <w:lang w:val="es-AR" w:eastAsia="en-US"/>
          </w:rPr>
          <w:t>0</w:t>
        </w:r>
      </w:p>
      <w:p w14:paraId="3E8097CA" w14:textId="5872260D" w:rsidR="00CF0093" w:rsidRDefault="002432A8">
        <w:pPr>
          <w:pStyle w:val="Piedepgina"/>
          <w:jc w:val="right"/>
        </w:pPr>
      </w:p>
    </w:sdtContent>
  </w:sdt>
  <w:p w14:paraId="27F00871" w14:textId="77777777" w:rsidR="00CF0093" w:rsidRDefault="00CF00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EFC66" w14:textId="77777777" w:rsidR="002432A8" w:rsidRDefault="002432A8">
      <w:r>
        <w:separator/>
      </w:r>
    </w:p>
  </w:footnote>
  <w:footnote w:type="continuationSeparator" w:id="0">
    <w:p w14:paraId="2C903ED4" w14:textId="77777777" w:rsidR="002432A8" w:rsidRDefault="002432A8">
      <w:r>
        <w:continuationSeparator/>
      </w:r>
    </w:p>
  </w:footnote>
  <w:footnote w:id="1">
    <w:p w14:paraId="74040123" w14:textId="1941C7F1" w:rsidR="00583A03" w:rsidRPr="00583A03" w:rsidRDefault="00CF0093" w:rsidP="00583A03">
      <w:pPr>
        <w:pStyle w:val="Sangra3detindependiente"/>
        <w:ind w:firstLine="0"/>
        <w:rPr>
          <w:lang w:val="es-ES_tradnl"/>
        </w:rPr>
      </w:pPr>
      <w:r>
        <w:rPr>
          <w:rStyle w:val="Refdenotaalpie"/>
        </w:rPr>
        <w:footnoteRef/>
      </w:r>
      <w:r>
        <w:t xml:space="preserve"> </w:t>
      </w:r>
      <w:r w:rsidR="00583A03" w:rsidRPr="00583A03">
        <w:rPr>
          <w:lang w:val="es-ES_tradnl"/>
        </w:rPr>
        <w:t>Profesor e investigador full time</w:t>
      </w:r>
      <w:r w:rsidR="00583A03">
        <w:rPr>
          <w:lang w:val="es-ES_tradnl"/>
        </w:rPr>
        <w:t xml:space="preserve"> </w:t>
      </w:r>
      <w:r w:rsidR="00583A03" w:rsidRPr="00583A03">
        <w:t>Universidad del CEMA</w:t>
      </w:r>
      <w:r w:rsidR="00583A03">
        <w:rPr>
          <w:lang w:val="es-ES_tradnl"/>
        </w:rPr>
        <w:t xml:space="preserve">. </w:t>
      </w:r>
      <w:r w:rsidR="00583A03" w:rsidRPr="00583A03">
        <w:rPr>
          <w:lang w:val="es-ES_tradnl"/>
        </w:rPr>
        <w:t>jca@cema.edu.ar</w:t>
      </w:r>
    </w:p>
    <w:p w14:paraId="08D55D63" w14:textId="77777777" w:rsidR="00716549" w:rsidRDefault="00CF0093" w:rsidP="00716549">
      <w:pPr>
        <w:pStyle w:val="Sangra3detindependiente"/>
        <w:ind w:firstLine="0"/>
        <w:rPr>
          <w:szCs w:val="24"/>
          <w:lang w:val="es-ES_tradnl"/>
        </w:rPr>
      </w:pPr>
      <w:r w:rsidRPr="00B00DA8">
        <w:rPr>
          <w:sz w:val="22"/>
          <w:szCs w:val="22"/>
          <w:lang w:val="es-ES_tradnl"/>
        </w:rPr>
        <w:t xml:space="preserve">Agradezco a Mario </w:t>
      </w:r>
      <w:proofErr w:type="spellStart"/>
      <w:r w:rsidRPr="00B00DA8">
        <w:rPr>
          <w:sz w:val="22"/>
          <w:szCs w:val="22"/>
          <w:lang w:val="es-ES_tradnl"/>
        </w:rPr>
        <w:t>Salinardi</w:t>
      </w:r>
      <w:proofErr w:type="spellEnd"/>
      <w:r w:rsidRPr="00B00DA8">
        <w:rPr>
          <w:sz w:val="22"/>
          <w:szCs w:val="22"/>
          <w:lang w:val="es-ES_tradnl"/>
        </w:rPr>
        <w:t xml:space="preserve"> sus valiosos comentarios de detalle y orientación general, a Mario Teijeiro una esclarecedora conversación sobre el estado nacional y la redistribución interprovincial de recursos, y a Luciano Di Gresia su comentario en la reunión anual de la AAEP de 2009. </w:t>
      </w:r>
      <w:r w:rsidR="00716549" w:rsidRPr="00716549">
        <w:rPr>
          <w:sz w:val="22"/>
          <w:szCs w:val="22"/>
          <w:lang w:val="es-ES_tradnl"/>
        </w:rPr>
        <w:t>También agradezco las observaciones del referí anónimo.</w:t>
      </w:r>
      <w:r w:rsidR="00716549">
        <w:rPr>
          <w:sz w:val="22"/>
          <w:szCs w:val="22"/>
          <w:lang w:val="es-ES_tradnl"/>
        </w:rPr>
        <w:t xml:space="preserve"> Los posibles errores y las opiniones del ensayo corren por cuenta exclusiva del autor.</w:t>
      </w:r>
    </w:p>
    <w:p w14:paraId="6BB1C723" w14:textId="521E8EDA" w:rsidR="00CF0093" w:rsidRPr="00297A52" w:rsidRDefault="00CF0093" w:rsidP="00B00DA8">
      <w:pPr>
        <w:pStyle w:val="Sangra3detindependiente"/>
        <w:ind w:firstLine="0"/>
        <w:rPr>
          <w:szCs w:val="24"/>
          <w:lang w:val="es-ES_tradnl"/>
        </w:rPr>
      </w:pPr>
    </w:p>
    <w:p w14:paraId="1162AA30" w14:textId="1E318174" w:rsidR="00CF0093" w:rsidRPr="004F14D4" w:rsidRDefault="00CF0093" w:rsidP="00297A52">
      <w:pPr>
        <w:pStyle w:val="Sangra3detindependiente"/>
        <w:jc w:val="left"/>
        <w:rPr>
          <w:lang w:val="es-ES_tradnl"/>
        </w:rPr>
      </w:pPr>
    </w:p>
    <w:p w14:paraId="556026C0" w14:textId="1127BEF8" w:rsidR="00CF0093" w:rsidRPr="0069201B" w:rsidRDefault="00CF0093">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8D4A4" w14:textId="77777777" w:rsidR="00CF0093" w:rsidRDefault="00CF0093" w:rsidP="00505F9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B292FB" w14:textId="77777777" w:rsidR="00CF0093" w:rsidRDefault="00CF0093" w:rsidP="00126A5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E80D" w14:textId="5F6F796E" w:rsidR="00CF0093" w:rsidRDefault="00CF0093" w:rsidP="00505F95">
    <w:pPr>
      <w:pStyle w:val="Encabezado"/>
      <w:framePr w:wrap="around" w:vAnchor="text" w:hAnchor="margin" w:xAlign="right" w:y="1"/>
      <w:rPr>
        <w:rStyle w:val="Nmerodepgina"/>
      </w:rPr>
    </w:pPr>
  </w:p>
  <w:p w14:paraId="796064E2" w14:textId="7F906184" w:rsidR="00CF0093" w:rsidRPr="0072368A" w:rsidRDefault="00CF0093" w:rsidP="00B06CE3">
    <w:pPr>
      <w:pStyle w:val="Encabezado"/>
      <w:ind w:left="-284"/>
      <w:jc w:val="right"/>
      <w:rPr>
        <w:sz w:val="22"/>
        <w:szCs w:val="22"/>
        <w:lang w:val="es-MX"/>
      </w:rPr>
    </w:pPr>
    <w:r w:rsidRPr="0072368A">
      <w:rPr>
        <w:i/>
        <w:sz w:val="22"/>
        <w:szCs w:val="22"/>
        <w:lang w:val="es-MX"/>
      </w:rPr>
      <w:t>Revista de Instituciones, Ideas y Mercados</w:t>
    </w:r>
    <w:r w:rsidRPr="0072368A">
      <w:rPr>
        <w:sz w:val="22"/>
        <w:szCs w:val="22"/>
        <w:lang w:val="es-MX"/>
      </w:rPr>
      <w:t xml:space="preserve"> Nº 70 | </w:t>
    </w:r>
    <w:proofErr w:type="gramStart"/>
    <w:r w:rsidRPr="0072368A">
      <w:rPr>
        <w:iCs/>
        <w:sz w:val="22"/>
        <w:szCs w:val="22"/>
        <w:lang w:val="es-MX"/>
      </w:rPr>
      <w:t>Octubre</w:t>
    </w:r>
    <w:proofErr w:type="gramEnd"/>
    <w:r w:rsidRPr="0072368A">
      <w:rPr>
        <w:iCs/>
        <w:sz w:val="22"/>
        <w:szCs w:val="22"/>
        <w:lang w:val="es-MX"/>
      </w:rPr>
      <w:t xml:space="preserve"> 2020 | pp. 1-3</w:t>
    </w:r>
    <w:r w:rsidR="00F171A8">
      <w:rPr>
        <w:iCs/>
        <w:sz w:val="22"/>
        <w:szCs w:val="22"/>
        <w:lang w:val="es-MX"/>
      </w:rPr>
      <w:t>4</w:t>
    </w:r>
  </w:p>
  <w:p w14:paraId="020B22A6" w14:textId="77777777" w:rsidR="00CF0093" w:rsidRPr="0072368A" w:rsidRDefault="00CF0093" w:rsidP="00B06CE3">
    <w:pPr>
      <w:pStyle w:val="Encabezado"/>
      <w:rPr>
        <w:sz w:val="22"/>
        <w:szCs w:val="22"/>
        <w:lang w:val="es-MX"/>
      </w:rPr>
    </w:pPr>
  </w:p>
  <w:p w14:paraId="55082545" w14:textId="77777777" w:rsidR="00CF0093" w:rsidRPr="0072368A" w:rsidRDefault="00CF0093" w:rsidP="00126A55">
    <w:pPr>
      <w:pStyle w:val="Encabezado"/>
      <w:ind w:right="360"/>
      <w:rPr>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F1924" w14:textId="0134F458" w:rsidR="00CF0093" w:rsidRPr="0072368A" w:rsidRDefault="00CF0093" w:rsidP="00B00DA8">
    <w:pPr>
      <w:pStyle w:val="Encabezado"/>
      <w:ind w:left="-284"/>
      <w:jc w:val="right"/>
      <w:rPr>
        <w:sz w:val="22"/>
        <w:szCs w:val="22"/>
        <w:lang w:val="es-MX"/>
      </w:rPr>
    </w:pPr>
    <w:r w:rsidRPr="0072368A">
      <w:rPr>
        <w:i/>
        <w:sz w:val="22"/>
        <w:szCs w:val="22"/>
        <w:lang w:val="es-MX"/>
      </w:rPr>
      <w:t>Revista de Instituciones, Ideas y Mercados</w:t>
    </w:r>
    <w:r w:rsidRPr="0072368A">
      <w:rPr>
        <w:sz w:val="22"/>
        <w:szCs w:val="22"/>
        <w:lang w:val="es-MX"/>
      </w:rPr>
      <w:t xml:space="preserve"> Nº 70 | </w:t>
    </w:r>
    <w:proofErr w:type="gramStart"/>
    <w:r w:rsidRPr="0072368A">
      <w:rPr>
        <w:iCs/>
        <w:sz w:val="22"/>
        <w:szCs w:val="22"/>
        <w:lang w:val="es-MX"/>
      </w:rPr>
      <w:t>Octubre</w:t>
    </w:r>
    <w:proofErr w:type="gramEnd"/>
    <w:r w:rsidRPr="0072368A">
      <w:rPr>
        <w:iCs/>
        <w:sz w:val="22"/>
        <w:szCs w:val="22"/>
        <w:lang w:val="es-MX"/>
      </w:rPr>
      <w:t xml:space="preserve"> 2020 | pp. 1-3</w:t>
    </w:r>
    <w:r w:rsidR="00F171A8">
      <w:rPr>
        <w:iCs/>
        <w:sz w:val="22"/>
        <w:szCs w:val="22"/>
        <w:lang w:val="es-MX"/>
      </w:rPr>
      <w:t>4</w:t>
    </w:r>
  </w:p>
  <w:p w14:paraId="393A3A9E" w14:textId="77777777" w:rsidR="00CF0093" w:rsidRPr="0072368A" w:rsidRDefault="00CF0093">
    <w:pPr>
      <w:pStyle w:val="Encabezado"/>
      <w:rPr>
        <w:sz w:val="22"/>
        <w:szCs w:val="2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6F41C3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301715"/>
    <w:multiLevelType w:val="singleLevel"/>
    <w:tmpl w:val="5528519C"/>
    <w:lvl w:ilvl="0">
      <w:start w:val="1"/>
      <w:numFmt w:val="lowerRoman"/>
      <w:lvlText w:val="%1)"/>
      <w:lvlJc w:val="left"/>
      <w:pPr>
        <w:tabs>
          <w:tab w:val="num" w:pos="1260"/>
        </w:tabs>
        <w:ind w:left="1260" w:hanging="720"/>
      </w:pPr>
      <w:rPr>
        <w:rFonts w:hint="default"/>
      </w:rPr>
    </w:lvl>
  </w:abstractNum>
  <w:abstractNum w:abstractNumId="2" w15:restartNumberingAfterBreak="0">
    <w:nsid w:val="065403F8"/>
    <w:multiLevelType w:val="singleLevel"/>
    <w:tmpl w:val="0C0A000F"/>
    <w:lvl w:ilvl="0">
      <w:start w:val="1"/>
      <w:numFmt w:val="decimal"/>
      <w:lvlText w:val="%1."/>
      <w:lvlJc w:val="left"/>
      <w:pPr>
        <w:tabs>
          <w:tab w:val="num" w:pos="360"/>
        </w:tabs>
        <w:ind w:left="360" w:hanging="360"/>
      </w:pPr>
      <w:rPr>
        <w:rFonts w:hint="default"/>
      </w:rPr>
    </w:lvl>
  </w:abstractNum>
  <w:abstractNum w:abstractNumId="3" w15:restartNumberingAfterBreak="0">
    <w:nsid w:val="097B5E8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0A26DF"/>
    <w:multiLevelType w:val="hybridMultilevel"/>
    <w:tmpl w:val="FE40832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AC613A"/>
    <w:multiLevelType w:val="singleLevel"/>
    <w:tmpl w:val="5E2C3A5E"/>
    <w:lvl w:ilvl="0">
      <w:numFmt w:val="bullet"/>
      <w:lvlText w:val=""/>
      <w:lvlJc w:val="left"/>
      <w:pPr>
        <w:tabs>
          <w:tab w:val="num" w:pos="360"/>
        </w:tabs>
        <w:ind w:left="360" w:hanging="360"/>
      </w:pPr>
      <w:rPr>
        <w:rFonts w:ascii="Symbol" w:hAnsi="Symbol" w:hint="default"/>
        <w:i/>
      </w:rPr>
    </w:lvl>
  </w:abstractNum>
  <w:abstractNum w:abstractNumId="6" w15:restartNumberingAfterBreak="0">
    <w:nsid w:val="1E834412"/>
    <w:multiLevelType w:val="hybridMultilevel"/>
    <w:tmpl w:val="40CC1D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726A23"/>
    <w:multiLevelType w:val="singleLevel"/>
    <w:tmpl w:val="0C0A000F"/>
    <w:lvl w:ilvl="0">
      <w:start w:val="1"/>
      <w:numFmt w:val="decimal"/>
      <w:lvlText w:val="%1."/>
      <w:lvlJc w:val="left"/>
      <w:pPr>
        <w:tabs>
          <w:tab w:val="num" w:pos="360"/>
        </w:tabs>
        <w:ind w:left="360" w:hanging="360"/>
      </w:pPr>
      <w:rPr>
        <w:rFonts w:hint="default"/>
      </w:rPr>
    </w:lvl>
  </w:abstractNum>
  <w:abstractNum w:abstractNumId="8" w15:restartNumberingAfterBreak="0">
    <w:nsid w:val="274E0EB8"/>
    <w:multiLevelType w:val="singleLevel"/>
    <w:tmpl w:val="B9E8867E"/>
    <w:lvl w:ilvl="0">
      <w:start w:val="1"/>
      <w:numFmt w:val="lowerRoman"/>
      <w:lvlText w:val="%1)"/>
      <w:lvlJc w:val="left"/>
      <w:pPr>
        <w:tabs>
          <w:tab w:val="num" w:pos="720"/>
        </w:tabs>
        <w:ind w:left="720" w:hanging="720"/>
      </w:pPr>
      <w:rPr>
        <w:rFonts w:hint="default"/>
      </w:rPr>
    </w:lvl>
  </w:abstractNum>
  <w:abstractNum w:abstractNumId="9" w15:restartNumberingAfterBreak="0">
    <w:nsid w:val="2A98416F"/>
    <w:multiLevelType w:val="hybridMultilevel"/>
    <w:tmpl w:val="A71A18D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B0561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F83EB4"/>
    <w:multiLevelType w:val="hybridMultilevel"/>
    <w:tmpl w:val="6310D24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1E64CFB"/>
    <w:multiLevelType w:val="singleLevel"/>
    <w:tmpl w:val="157EF648"/>
    <w:lvl w:ilvl="0">
      <w:start w:val="1"/>
      <w:numFmt w:val="lowerRoman"/>
      <w:lvlText w:val="%1)"/>
      <w:lvlJc w:val="left"/>
      <w:pPr>
        <w:tabs>
          <w:tab w:val="num" w:pos="1287"/>
        </w:tabs>
        <w:ind w:left="1287" w:hanging="720"/>
      </w:pPr>
      <w:rPr>
        <w:rFonts w:hint="default"/>
      </w:rPr>
    </w:lvl>
  </w:abstractNum>
  <w:abstractNum w:abstractNumId="13" w15:restartNumberingAfterBreak="0">
    <w:nsid w:val="45B33328"/>
    <w:multiLevelType w:val="hybridMultilevel"/>
    <w:tmpl w:val="9216D070"/>
    <w:lvl w:ilvl="0" w:tplc="6F441BF2">
      <w:start w:val="1"/>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4" w15:restartNumberingAfterBreak="0">
    <w:nsid w:val="47F1205F"/>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4F75731B"/>
    <w:multiLevelType w:val="singleLevel"/>
    <w:tmpl w:val="0C0A0013"/>
    <w:lvl w:ilvl="0">
      <w:start w:val="1"/>
      <w:numFmt w:val="upperRoman"/>
      <w:lvlText w:val="%1."/>
      <w:lvlJc w:val="left"/>
      <w:pPr>
        <w:tabs>
          <w:tab w:val="num" w:pos="720"/>
        </w:tabs>
        <w:ind w:left="720" w:hanging="720"/>
      </w:pPr>
      <w:rPr>
        <w:rFonts w:hint="default"/>
      </w:rPr>
    </w:lvl>
  </w:abstractNum>
  <w:abstractNum w:abstractNumId="16" w15:restartNumberingAfterBreak="0">
    <w:nsid w:val="56A07B3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CD455E"/>
    <w:multiLevelType w:val="singleLevel"/>
    <w:tmpl w:val="B128D5EE"/>
    <w:lvl w:ilvl="0">
      <w:start w:val="1"/>
      <w:numFmt w:val="lowerRoman"/>
      <w:lvlText w:val="%1)"/>
      <w:lvlJc w:val="left"/>
      <w:pPr>
        <w:tabs>
          <w:tab w:val="num" w:pos="1287"/>
        </w:tabs>
        <w:ind w:left="1287" w:hanging="720"/>
      </w:pPr>
      <w:rPr>
        <w:rFonts w:hint="default"/>
      </w:rPr>
    </w:lvl>
  </w:abstractNum>
  <w:abstractNum w:abstractNumId="18" w15:restartNumberingAfterBreak="0">
    <w:nsid w:val="5EB350F9"/>
    <w:multiLevelType w:val="singleLevel"/>
    <w:tmpl w:val="43740A46"/>
    <w:lvl w:ilvl="0">
      <w:start w:val="1"/>
      <w:numFmt w:val="lowerRoman"/>
      <w:lvlText w:val="%1)"/>
      <w:lvlJc w:val="left"/>
      <w:pPr>
        <w:tabs>
          <w:tab w:val="num" w:pos="1287"/>
        </w:tabs>
        <w:ind w:left="1287" w:hanging="720"/>
      </w:pPr>
      <w:rPr>
        <w:rFonts w:hint="default"/>
      </w:rPr>
    </w:lvl>
  </w:abstractNum>
  <w:abstractNum w:abstractNumId="19" w15:restartNumberingAfterBreak="0">
    <w:nsid w:val="61344B1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4155505"/>
    <w:multiLevelType w:val="singleLevel"/>
    <w:tmpl w:val="C2DAB5C0"/>
    <w:lvl w:ilvl="0">
      <w:start w:val="1"/>
      <w:numFmt w:val="bullet"/>
      <w:lvlText w:val="-"/>
      <w:lvlJc w:val="left"/>
      <w:pPr>
        <w:tabs>
          <w:tab w:val="num" w:pos="360"/>
        </w:tabs>
        <w:ind w:left="360" w:hanging="360"/>
      </w:pPr>
      <w:rPr>
        <w:rFonts w:hint="default"/>
      </w:rPr>
    </w:lvl>
  </w:abstractNum>
  <w:abstractNum w:abstractNumId="21" w15:restartNumberingAfterBreak="0">
    <w:nsid w:val="65971CF3"/>
    <w:multiLevelType w:val="singleLevel"/>
    <w:tmpl w:val="0C0A000F"/>
    <w:lvl w:ilvl="0">
      <w:start w:val="1"/>
      <w:numFmt w:val="decimal"/>
      <w:lvlText w:val="%1."/>
      <w:lvlJc w:val="left"/>
      <w:pPr>
        <w:tabs>
          <w:tab w:val="num" w:pos="360"/>
        </w:tabs>
        <w:ind w:left="360" w:hanging="360"/>
      </w:pPr>
    </w:lvl>
  </w:abstractNum>
  <w:abstractNum w:abstractNumId="22" w15:restartNumberingAfterBreak="0">
    <w:nsid w:val="67A87754"/>
    <w:multiLevelType w:val="hybridMultilevel"/>
    <w:tmpl w:val="2260362C"/>
    <w:lvl w:ilvl="0" w:tplc="BB2AD24A">
      <w:start w:val="1"/>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15:restartNumberingAfterBreak="0">
    <w:nsid w:val="6A4D5ED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2BB5290"/>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15:restartNumberingAfterBreak="0">
    <w:nsid w:val="78814130"/>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26" w15:restartNumberingAfterBreak="0">
    <w:nsid w:val="7EDC7F5A"/>
    <w:multiLevelType w:val="singleLevel"/>
    <w:tmpl w:val="0C0A000F"/>
    <w:lvl w:ilvl="0">
      <w:start w:val="1"/>
      <w:numFmt w:val="decimal"/>
      <w:lvlText w:val="%1."/>
      <w:lvlJc w:val="left"/>
      <w:pPr>
        <w:tabs>
          <w:tab w:val="num" w:pos="360"/>
        </w:tabs>
        <w:ind w:left="360" w:hanging="360"/>
      </w:pPr>
      <w:rPr>
        <w:rFonts w:hint="default"/>
      </w:rPr>
    </w:lvl>
  </w:abstractNum>
  <w:num w:numId="1">
    <w:abstractNumId w:val="12"/>
  </w:num>
  <w:num w:numId="2">
    <w:abstractNumId w:val="17"/>
  </w:num>
  <w:num w:numId="3">
    <w:abstractNumId w:val="18"/>
  </w:num>
  <w:num w:numId="4">
    <w:abstractNumId w:val="15"/>
  </w:num>
  <w:num w:numId="5">
    <w:abstractNumId w:val="7"/>
  </w:num>
  <w:num w:numId="6">
    <w:abstractNumId w:val="2"/>
  </w:num>
  <w:num w:numId="7">
    <w:abstractNumId w:val="26"/>
  </w:num>
  <w:num w:numId="8">
    <w:abstractNumId w:val="21"/>
  </w:num>
  <w:num w:numId="9">
    <w:abstractNumId w:val="16"/>
  </w:num>
  <w:num w:numId="10">
    <w:abstractNumId w:val="25"/>
  </w:num>
  <w:num w:numId="11">
    <w:abstractNumId w:val="5"/>
  </w:num>
  <w:num w:numId="12">
    <w:abstractNumId w:val="14"/>
  </w:num>
  <w:num w:numId="13">
    <w:abstractNumId w:val="8"/>
  </w:num>
  <w:num w:numId="14">
    <w:abstractNumId w:val="24"/>
  </w:num>
  <w:num w:numId="15">
    <w:abstractNumId w:val="10"/>
  </w:num>
  <w:num w:numId="16">
    <w:abstractNumId w:val="1"/>
  </w:num>
  <w:num w:numId="17">
    <w:abstractNumId w:val="20"/>
  </w:num>
  <w:num w:numId="18">
    <w:abstractNumId w:val="0"/>
  </w:num>
  <w:num w:numId="19">
    <w:abstractNumId w:val="13"/>
  </w:num>
  <w:num w:numId="20">
    <w:abstractNumId w:val="22"/>
  </w:num>
  <w:num w:numId="21">
    <w:abstractNumId w:val="9"/>
  </w:num>
  <w:num w:numId="22">
    <w:abstractNumId w:val="6"/>
  </w:num>
  <w:num w:numId="23">
    <w:abstractNumId w:val="4"/>
  </w:num>
  <w:num w:numId="24">
    <w:abstractNumId w:val="11"/>
  </w:num>
  <w:num w:numId="25">
    <w:abstractNumId w:val="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7F"/>
    <w:rsid w:val="00002203"/>
    <w:rsid w:val="00005C94"/>
    <w:rsid w:val="0001016E"/>
    <w:rsid w:val="00014FEE"/>
    <w:rsid w:val="00022D0C"/>
    <w:rsid w:val="000231A2"/>
    <w:rsid w:val="00025921"/>
    <w:rsid w:val="00026392"/>
    <w:rsid w:val="00030313"/>
    <w:rsid w:val="00031A22"/>
    <w:rsid w:val="00032DD2"/>
    <w:rsid w:val="00032DE8"/>
    <w:rsid w:val="00035E9D"/>
    <w:rsid w:val="00044C07"/>
    <w:rsid w:val="00045C7B"/>
    <w:rsid w:val="00052206"/>
    <w:rsid w:val="00053BFF"/>
    <w:rsid w:val="00054AFF"/>
    <w:rsid w:val="00055A4A"/>
    <w:rsid w:val="00063341"/>
    <w:rsid w:val="0006427E"/>
    <w:rsid w:val="00064619"/>
    <w:rsid w:val="00066D21"/>
    <w:rsid w:val="00071E94"/>
    <w:rsid w:val="00072783"/>
    <w:rsid w:val="00072AC2"/>
    <w:rsid w:val="00072B0A"/>
    <w:rsid w:val="000755CC"/>
    <w:rsid w:val="0007591E"/>
    <w:rsid w:val="00080767"/>
    <w:rsid w:val="000830DE"/>
    <w:rsid w:val="00085864"/>
    <w:rsid w:val="000914B0"/>
    <w:rsid w:val="000962F4"/>
    <w:rsid w:val="00097F99"/>
    <w:rsid w:val="000A054B"/>
    <w:rsid w:val="000A3BF3"/>
    <w:rsid w:val="000A4E77"/>
    <w:rsid w:val="000B1C39"/>
    <w:rsid w:val="000B3D5F"/>
    <w:rsid w:val="000B4C41"/>
    <w:rsid w:val="000B73DD"/>
    <w:rsid w:val="000C00F0"/>
    <w:rsid w:val="000C5F6C"/>
    <w:rsid w:val="000D356F"/>
    <w:rsid w:val="000F136E"/>
    <w:rsid w:val="000F2831"/>
    <w:rsid w:val="000F2AB2"/>
    <w:rsid w:val="000F5F47"/>
    <w:rsid w:val="00100EDD"/>
    <w:rsid w:val="001010D9"/>
    <w:rsid w:val="00103275"/>
    <w:rsid w:val="0010691F"/>
    <w:rsid w:val="001100D4"/>
    <w:rsid w:val="001143D2"/>
    <w:rsid w:val="0012684E"/>
    <w:rsid w:val="00126A55"/>
    <w:rsid w:val="001271BC"/>
    <w:rsid w:val="00130697"/>
    <w:rsid w:val="00131C04"/>
    <w:rsid w:val="00132933"/>
    <w:rsid w:val="00133BD3"/>
    <w:rsid w:val="0013559B"/>
    <w:rsid w:val="00137591"/>
    <w:rsid w:val="001409FE"/>
    <w:rsid w:val="00145705"/>
    <w:rsid w:val="00147C91"/>
    <w:rsid w:val="00150E1A"/>
    <w:rsid w:val="001532BA"/>
    <w:rsid w:val="0015619D"/>
    <w:rsid w:val="00156924"/>
    <w:rsid w:val="001614F6"/>
    <w:rsid w:val="00161925"/>
    <w:rsid w:val="00162BB7"/>
    <w:rsid w:val="00165DBD"/>
    <w:rsid w:val="001777C1"/>
    <w:rsid w:val="00177896"/>
    <w:rsid w:val="00182BD5"/>
    <w:rsid w:val="00182CC0"/>
    <w:rsid w:val="00190C0B"/>
    <w:rsid w:val="00192135"/>
    <w:rsid w:val="00194DCF"/>
    <w:rsid w:val="00196459"/>
    <w:rsid w:val="001A3151"/>
    <w:rsid w:val="001A5299"/>
    <w:rsid w:val="001A76EB"/>
    <w:rsid w:val="001B4593"/>
    <w:rsid w:val="001B7139"/>
    <w:rsid w:val="001C05A7"/>
    <w:rsid w:val="001C186F"/>
    <w:rsid w:val="001C5959"/>
    <w:rsid w:val="001C5C61"/>
    <w:rsid w:val="001D325F"/>
    <w:rsid w:val="001E3943"/>
    <w:rsid w:val="001E63A6"/>
    <w:rsid w:val="001F01B4"/>
    <w:rsid w:val="001F5455"/>
    <w:rsid w:val="001F6838"/>
    <w:rsid w:val="001F6A1D"/>
    <w:rsid w:val="0020561D"/>
    <w:rsid w:val="002059B9"/>
    <w:rsid w:val="00207F88"/>
    <w:rsid w:val="0022698F"/>
    <w:rsid w:val="00230705"/>
    <w:rsid w:val="002327F5"/>
    <w:rsid w:val="00234D5B"/>
    <w:rsid w:val="00235D5C"/>
    <w:rsid w:val="002432A8"/>
    <w:rsid w:val="002446B8"/>
    <w:rsid w:val="00250717"/>
    <w:rsid w:val="00251594"/>
    <w:rsid w:val="0025538F"/>
    <w:rsid w:val="00256631"/>
    <w:rsid w:val="00256EC3"/>
    <w:rsid w:val="0026061C"/>
    <w:rsid w:val="0026295A"/>
    <w:rsid w:val="00266FDE"/>
    <w:rsid w:val="0026764F"/>
    <w:rsid w:val="00270E8B"/>
    <w:rsid w:val="00273379"/>
    <w:rsid w:val="0028141C"/>
    <w:rsid w:val="00281CBB"/>
    <w:rsid w:val="00283F86"/>
    <w:rsid w:val="00284E25"/>
    <w:rsid w:val="00285841"/>
    <w:rsid w:val="00291656"/>
    <w:rsid w:val="00291C60"/>
    <w:rsid w:val="0029681B"/>
    <w:rsid w:val="00297A52"/>
    <w:rsid w:val="002A205B"/>
    <w:rsid w:val="002A37C2"/>
    <w:rsid w:val="002A51EC"/>
    <w:rsid w:val="002B53C2"/>
    <w:rsid w:val="002B6C5B"/>
    <w:rsid w:val="002B7116"/>
    <w:rsid w:val="002C3C92"/>
    <w:rsid w:val="002D2F6F"/>
    <w:rsid w:val="002D3D06"/>
    <w:rsid w:val="002D5D4A"/>
    <w:rsid w:val="002D6DEA"/>
    <w:rsid w:val="002E015B"/>
    <w:rsid w:val="002E0492"/>
    <w:rsid w:val="002E6F9B"/>
    <w:rsid w:val="002E7268"/>
    <w:rsid w:val="002F0294"/>
    <w:rsid w:val="002F3314"/>
    <w:rsid w:val="002F385E"/>
    <w:rsid w:val="002F7B06"/>
    <w:rsid w:val="00300FF2"/>
    <w:rsid w:val="00303648"/>
    <w:rsid w:val="003129F3"/>
    <w:rsid w:val="003132FD"/>
    <w:rsid w:val="00313500"/>
    <w:rsid w:val="00314498"/>
    <w:rsid w:val="0031456F"/>
    <w:rsid w:val="00316B30"/>
    <w:rsid w:val="00316F17"/>
    <w:rsid w:val="003172D6"/>
    <w:rsid w:val="00321D93"/>
    <w:rsid w:val="00323262"/>
    <w:rsid w:val="00331F9F"/>
    <w:rsid w:val="00332F70"/>
    <w:rsid w:val="00333319"/>
    <w:rsid w:val="0033759A"/>
    <w:rsid w:val="0034421C"/>
    <w:rsid w:val="003462FB"/>
    <w:rsid w:val="003514AE"/>
    <w:rsid w:val="00351AF4"/>
    <w:rsid w:val="003527A7"/>
    <w:rsid w:val="00355E76"/>
    <w:rsid w:val="00356430"/>
    <w:rsid w:val="00357016"/>
    <w:rsid w:val="00357BDF"/>
    <w:rsid w:val="00357E6C"/>
    <w:rsid w:val="003616F4"/>
    <w:rsid w:val="00361A62"/>
    <w:rsid w:val="003628D2"/>
    <w:rsid w:val="0036436D"/>
    <w:rsid w:val="00364AD0"/>
    <w:rsid w:val="00373C9C"/>
    <w:rsid w:val="0037514C"/>
    <w:rsid w:val="003832F2"/>
    <w:rsid w:val="003834FF"/>
    <w:rsid w:val="003848AA"/>
    <w:rsid w:val="00384C50"/>
    <w:rsid w:val="00390CD3"/>
    <w:rsid w:val="00396358"/>
    <w:rsid w:val="003A01B4"/>
    <w:rsid w:val="003A066C"/>
    <w:rsid w:val="003A17FA"/>
    <w:rsid w:val="003A2B8A"/>
    <w:rsid w:val="003A4F07"/>
    <w:rsid w:val="003A5966"/>
    <w:rsid w:val="003A6676"/>
    <w:rsid w:val="003B3242"/>
    <w:rsid w:val="003B714F"/>
    <w:rsid w:val="003C57C4"/>
    <w:rsid w:val="003C609D"/>
    <w:rsid w:val="003D0BA8"/>
    <w:rsid w:val="003D46A1"/>
    <w:rsid w:val="003D4729"/>
    <w:rsid w:val="003D65A9"/>
    <w:rsid w:val="003D7A93"/>
    <w:rsid w:val="003D7F21"/>
    <w:rsid w:val="003F1FFC"/>
    <w:rsid w:val="0040183A"/>
    <w:rsid w:val="00401F80"/>
    <w:rsid w:val="00415CED"/>
    <w:rsid w:val="00421258"/>
    <w:rsid w:val="0042269E"/>
    <w:rsid w:val="00422B31"/>
    <w:rsid w:val="004232B1"/>
    <w:rsid w:val="004237D9"/>
    <w:rsid w:val="00430C1C"/>
    <w:rsid w:val="00431A49"/>
    <w:rsid w:val="0043672E"/>
    <w:rsid w:val="00437282"/>
    <w:rsid w:val="00440103"/>
    <w:rsid w:val="0044022A"/>
    <w:rsid w:val="004449BE"/>
    <w:rsid w:val="00444E0C"/>
    <w:rsid w:val="0045175E"/>
    <w:rsid w:val="004528FD"/>
    <w:rsid w:val="0045333C"/>
    <w:rsid w:val="00457D1D"/>
    <w:rsid w:val="00460404"/>
    <w:rsid w:val="00462676"/>
    <w:rsid w:val="004653B6"/>
    <w:rsid w:val="004667A1"/>
    <w:rsid w:val="00472B43"/>
    <w:rsid w:val="004739B2"/>
    <w:rsid w:val="00474139"/>
    <w:rsid w:val="004747E1"/>
    <w:rsid w:val="00475422"/>
    <w:rsid w:val="00476D35"/>
    <w:rsid w:val="0047796B"/>
    <w:rsid w:val="004937F8"/>
    <w:rsid w:val="004A0E1A"/>
    <w:rsid w:val="004A3175"/>
    <w:rsid w:val="004A5126"/>
    <w:rsid w:val="004A7D07"/>
    <w:rsid w:val="004B195F"/>
    <w:rsid w:val="004B1A44"/>
    <w:rsid w:val="004B3413"/>
    <w:rsid w:val="004B5968"/>
    <w:rsid w:val="004B5A22"/>
    <w:rsid w:val="004C11F0"/>
    <w:rsid w:val="004C1E7B"/>
    <w:rsid w:val="004C2375"/>
    <w:rsid w:val="004C2754"/>
    <w:rsid w:val="004D0FAE"/>
    <w:rsid w:val="004D21FA"/>
    <w:rsid w:val="004D47D5"/>
    <w:rsid w:val="004D7281"/>
    <w:rsid w:val="004E00B1"/>
    <w:rsid w:val="004E0604"/>
    <w:rsid w:val="004E1FA5"/>
    <w:rsid w:val="004E338E"/>
    <w:rsid w:val="004F14D4"/>
    <w:rsid w:val="004F15AE"/>
    <w:rsid w:val="004F39BB"/>
    <w:rsid w:val="00500B54"/>
    <w:rsid w:val="005039F1"/>
    <w:rsid w:val="00504C12"/>
    <w:rsid w:val="00504EE7"/>
    <w:rsid w:val="00505D09"/>
    <w:rsid w:val="00505F95"/>
    <w:rsid w:val="00506F77"/>
    <w:rsid w:val="0051278D"/>
    <w:rsid w:val="0051301E"/>
    <w:rsid w:val="00516899"/>
    <w:rsid w:val="00517398"/>
    <w:rsid w:val="00520468"/>
    <w:rsid w:val="00521C6B"/>
    <w:rsid w:val="00521F9B"/>
    <w:rsid w:val="00522EFC"/>
    <w:rsid w:val="00527478"/>
    <w:rsid w:val="00527BE0"/>
    <w:rsid w:val="005310F6"/>
    <w:rsid w:val="0053424A"/>
    <w:rsid w:val="00534FB4"/>
    <w:rsid w:val="0054183F"/>
    <w:rsid w:val="00545D58"/>
    <w:rsid w:val="0054769F"/>
    <w:rsid w:val="0055020C"/>
    <w:rsid w:val="0055194C"/>
    <w:rsid w:val="005535CA"/>
    <w:rsid w:val="00555A88"/>
    <w:rsid w:val="00556D47"/>
    <w:rsid w:val="00557493"/>
    <w:rsid w:val="0056274A"/>
    <w:rsid w:val="00563D3F"/>
    <w:rsid w:val="00564437"/>
    <w:rsid w:val="00564BC8"/>
    <w:rsid w:val="00565304"/>
    <w:rsid w:val="00567523"/>
    <w:rsid w:val="005720C9"/>
    <w:rsid w:val="0057428B"/>
    <w:rsid w:val="0058089A"/>
    <w:rsid w:val="0058100D"/>
    <w:rsid w:val="00581C21"/>
    <w:rsid w:val="00581D6F"/>
    <w:rsid w:val="0058337C"/>
    <w:rsid w:val="00583A03"/>
    <w:rsid w:val="00586924"/>
    <w:rsid w:val="00586F67"/>
    <w:rsid w:val="00587F7E"/>
    <w:rsid w:val="00590196"/>
    <w:rsid w:val="005905B1"/>
    <w:rsid w:val="00592584"/>
    <w:rsid w:val="00594B58"/>
    <w:rsid w:val="005954C8"/>
    <w:rsid w:val="005A4AC5"/>
    <w:rsid w:val="005B3544"/>
    <w:rsid w:val="005B58D5"/>
    <w:rsid w:val="005C70FD"/>
    <w:rsid w:val="005C7322"/>
    <w:rsid w:val="005D3EAF"/>
    <w:rsid w:val="005D5493"/>
    <w:rsid w:val="005D6225"/>
    <w:rsid w:val="005E1351"/>
    <w:rsid w:val="005E17DD"/>
    <w:rsid w:val="005E3325"/>
    <w:rsid w:val="005E5157"/>
    <w:rsid w:val="005E7BBB"/>
    <w:rsid w:val="005F30B7"/>
    <w:rsid w:val="005F3EF5"/>
    <w:rsid w:val="005F6202"/>
    <w:rsid w:val="005F6D7C"/>
    <w:rsid w:val="006036E7"/>
    <w:rsid w:val="00604256"/>
    <w:rsid w:val="00605083"/>
    <w:rsid w:val="00610C23"/>
    <w:rsid w:val="00611616"/>
    <w:rsid w:val="00613A69"/>
    <w:rsid w:val="00613BBB"/>
    <w:rsid w:val="00613D19"/>
    <w:rsid w:val="00615135"/>
    <w:rsid w:val="00617EEF"/>
    <w:rsid w:val="00620C92"/>
    <w:rsid w:val="00621F2F"/>
    <w:rsid w:val="006247F7"/>
    <w:rsid w:val="0063490F"/>
    <w:rsid w:val="006366E2"/>
    <w:rsid w:val="00644AD5"/>
    <w:rsid w:val="006512EE"/>
    <w:rsid w:val="00651C93"/>
    <w:rsid w:val="00655927"/>
    <w:rsid w:val="006629E6"/>
    <w:rsid w:val="00663E11"/>
    <w:rsid w:val="00670171"/>
    <w:rsid w:val="0067210C"/>
    <w:rsid w:val="00675518"/>
    <w:rsid w:val="0067712D"/>
    <w:rsid w:val="006824D4"/>
    <w:rsid w:val="0069201B"/>
    <w:rsid w:val="00693A76"/>
    <w:rsid w:val="0069689A"/>
    <w:rsid w:val="006A5148"/>
    <w:rsid w:val="006B0ADA"/>
    <w:rsid w:val="006B1026"/>
    <w:rsid w:val="006B3332"/>
    <w:rsid w:val="006B4CD9"/>
    <w:rsid w:val="006C1403"/>
    <w:rsid w:val="006C3436"/>
    <w:rsid w:val="006D2B7D"/>
    <w:rsid w:val="006D5C8C"/>
    <w:rsid w:val="006E0D96"/>
    <w:rsid w:val="006E45A2"/>
    <w:rsid w:val="006E56E7"/>
    <w:rsid w:val="006E7D6A"/>
    <w:rsid w:val="006F086D"/>
    <w:rsid w:val="006F1347"/>
    <w:rsid w:val="006F38E4"/>
    <w:rsid w:val="006F4A64"/>
    <w:rsid w:val="007004E0"/>
    <w:rsid w:val="00701D36"/>
    <w:rsid w:val="0070301C"/>
    <w:rsid w:val="0071192A"/>
    <w:rsid w:val="00716549"/>
    <w:rsid w:val="00716D6F"/>
    <w:rsid w:val="007203A4"/>
    <w:rsid w:val="0072368A"/>
    <w:rsid w:val="007237FA"/>
    <w:rsid w:val="007258AA"/>
    <w:rsid w:val="00725BC4"/>
    <w:rsid w:val="00726799"/>
    <w:rsid w:val="00726A37"/>
    <w:rsid w:val="0073047E"/>
    <w:rsid w:val="007321D7"/>
    <w:rsid w:val="00735957"/>
    <w:rsid w:val="00740D07"/>
    <w:rsid w:val="00742053"/>
    <w:rsid w:val="00744E0E"/>
    <w:rsid w:val="00746328"/>
    <w:rsid w:val="00750DFA"/>
    <w:rsid w:val="0075299B"/>
    <w:rsid w:val="00752C5F"/>
    <w:rsid w:val="00752CA5"/>
    <w:rsid w:val="007536B5"/>
    <w:rsid w:val="00753D73"/>
    <w:rsid w:val="00756095"/>
    <w:rsid w:val="00757904"/>
    <w:rsid w:val="007603E7"/>
    <w:rsid w:val="007629A6"/>
    <w:rsid w:val="007633E2"/>
    <w:rsid w:val="007647C3"/>
    <w:rsid w:val="007651F8"/>
    <w:rsid w:val="00765D1B"/>
    <w:rsid w:val="00771065"/>
    <w:rsid w:val="007722F4"/>
    <w:rsid w:val="00773654"/>
    <w:rsid w:val="00775FD5"/>
    <w:rsid w:val="00784EB2"/>
    <w:rsid w:val="00795608"/>
    <w:rsid w:val="00795680"/>
    <w:rsid w:val="007A5535"/>
    <w:rsid w:val="007A5937"/>
    <w:rsid w:val="007A5B36"/>
    <w:rsid w:val="007A759E"/>
    <w:rsid w:val="007A7D78"/>
    <w:rsid w:val="007B2910"/>
    <w:rsid w:val="007B2E37"/>
    <w:rsid w:val="007B6825"/>
    <w:rsid w:val="007B6C67"/>
    <w:rsid w:val="007B7296"/>
    <w:rsid w:val="007D7083"/>
    <w:rsid w:val="007E455A"/>
    <w:rsid w:val="007E506F"/>
    <w:rsid w:val="007E730D"/>
    <w:rsid w:val="007E73E8"/>
    <w:rsid w:val="007F15C0"/>
    <w:rsid w:val="007F1AB8"/>
    <w:rsid w:val="007F363E"/>
    <w:rsid w:val="007F4631"/>
    <w:rsid w:val="007F6683"/>
    <w:rsid w:val="00804B11"/>
    <w:rsid w:val="00805268"/>
    <w:rsid w:val="00810931"/>
    <w:rsid w:val="00812633"/>
    <w:rsid w:val="00812D3F"/>
    <w:rsid w:val="00815404"/>
    <w:rsid w:val="00821112"/>
    <w:rsid w:val="008226E3"/>
    <w:rsid w:val="008240D1"/>
    <w:rsid w:val="008267B1"/>
    <w:rsid w:val="00826BC9"/>
    <w:rsid w:val="00827CDA"/>
    <w:rsid w:val="008436EF"/>
    <w:rsid w:val="00851A43"/>
    <w:rsid w:val="0085207D"/>
    <w:rsid w:val="00853B0F"/>
    <w:rsid w:val="00854E1C"/>
    <w:rsid w:val="008556C9"/>
    <w:rsid w:val="00856DF4"/>
    <w:rsid w:val="00857A16"/>
    <w:rsid w:val="00860238"/>
    <w:rsid w:val="00860D9C"/>
    <w:rsid w:val="008674E7"/>
    <w:rsid w:val="008674EB"/>
    <w:rsid w:val="00870524"/>
    <w:rsid w:val="00882281"/>
    <w:rsid w:val="00882603"/>
    <w:rsid w:val="00883050"/>
    <w:rsid w:val="008915DD"/>
    <w:rsid w:val="00897C06"/>
    <w:rsid w:val="008A204B"/>
    <w:rsid w:val="008A2803"/>
    <w:rsid w:val="008A34CE"/>
    <w:rsid w:val="008B3519"/>
    <w:rsid w:val="008B3DD3"/>
    <w:rsid w:val="008B4152"/>
    <w:rsid w:val="008B421B"/>
    <w:rsid w:val="008B4A6C"/>
    <w:rsid w:val="008B7A65"/>
    <w:rsid w:val="008C0BA2"/>
    <w:rsid w:val="008C54B7"/>
    <w:rsid w:val="008C61AE"/>
    <w:rsid w:val="008D2046"/>
    <w:rsid w:val="008D2464"/>
    <w:rsid w:val="008D2B42"/>
    <w:rsid w:val="008D44A3"/>
    <w:rsid w:val="008D4827"/>
    <w:rsid w:val="008D595E"/>
    <w:rsid w:val="008D7671"/>
    <w:rsid w:val="008D78FB"/>
    <w:rsid w:val="008E063A"/>
    <w:rsid w:val="008F2675"/>
    <w:rsid w:val="008F3CEE"/>
    <w:rsid w:val="008F47E8"/>
    <w:rsid w:val="008F7279"/>
    <w:rsid w:val="0090664B"/>
    <w:rsid w:val="00916572"/>
    <w:rsid w:val="00917D74"/>
    <w:rsid w:val="00924992"/>
    <w:rsid w:val="009277FB"/>
    <w:rsid w:val="00931554"/>
    <w:rsid w:val="00934AB5"/>
    <w:rsid w:val="009362BA"/>
    <w:rsid w:val="009370C3"/>
    <w:rsid w:val="0094229A"/>
    <w:rsid w:val="00944002"/>
    <w:rsid w:val="009455E7"/>
    <w:rsid w:val="00947020"/>
    <w:rsid w:val="0095213D"/>
    <w:rsid w:val="0095305B"/>
    <w:rsid w:val="009540E5"/>
    <w:rsid w:val="00956471"/>
    <w:rsid w:val="0095687D"/>
    <w:rsid w:val="00960D78"/>
    <w:rsid w:val="00960DE1"/>
    <w:rsid w:val="009623E9"/>
    <w:rsid w:val="00962C19"/>
    <w:rsid w:val="00964DD0"/>
    <w:rsid w:val="009651DE"/>
    <w:rsid w:val="009674E5"/>
    <w:rsid w:val="00970A02"/>
    <w:rsid w:val="00970E69"/>
    <w:rsid w:val="0097159C"/>
    <w:rsid w:val="009735FD"/>
    <w:rsid w:val="0097578B"/>
    <w:rsid w:val="00977697"/>
    <w:rsid w:val="00981712"/>
    <w:rsid w:val="0098279C"/>
    <w:rsid w:val="00991A1A"/>
    <w:rsid w:val="00992922"/>
    <w:rsid w:val="00995AC1"/>
    <w:rsid w:val="009961A9"/>
    <w:rsid w:val="009A23E6"/>
    <w:rsid w:val="009A24F2"/>
    <w:rsid w:val="009A60EC"/>
    <w:rsid w:val="009B55DC"/>
    <w:rsid w:val="009B64C3"/>
    <w:rsid w:val="009C005D"/>
    <w:rsid w:val="009C1387"/>
    <w:rsid w:val="009C64AF"/>
    <w:rsid w:val="009D1544"/>
    <w:rsid w:val="009D19A3"/>
    <w:rsid w:val="009D1DD1"/>
    <w:rsid w:val="009D390D"/>
    <w:rsid w:val="009E56B5"/>
    <w:rsid w:val="009E5CB1"/>
    <w:rsid w:val="009E6CF2"/>
    <w:rsid w:val="009E6CFF"/>
    <w:rsid w:val="00A02A99"/>
    <w:rsid w:val="00A07310"/>
    <w:rsid w:val="00A07F99"/>
    <w:rsid w:val="00A14954"/>
    <w:rsid w:val="00A155C4"/>
    <w:rsid w:val="00A1719B"/>
    <w:rsid w:val="00A21A91"/>
    <w:rsid w:val="00A22370"/>
    <w:rsid w:val="00A23279"/>
    <w:rsid w:val="00A25513"/>
    <w:rsid w:val="00A33164"/>
    <w:rsid w:val="00A43A12"/>
    <w:rsid w:val="00A44BCF"/>
    <w:rsid w:val="00A454D7"/>
    <w:rsid w:val="00A4577E"/>
    <w:rsid w:val="00A47CEF"/>
    <w:rsid w:val="00A555C9"/>
    <w:rsid w:val="00A57233"/>
    <w:rsid w:val="00A67655"/>
    <w:rsid w:val="00A70432"/>
    <w:rsid w:val="00A71A19"/>
    <w:rsid w:val="00A764B6"/>
    <w:rsid w:val="00A769BF"/>
    <w:rsid w:val="00A76A34"/>
    <w:rsid w:val="00A80622"/>
    <w:rsid w:val="00A82838"/>
    <w:rsid w:val="00A837D6"/>
    <w:rsid w:val="00A8394C"/>
    <w:rsid w:val="00A84866"/>
    <w:rsid w:val="00A85E68"/>
    <w:rsid w:val="00A961DE"/>
    <w:rsid w:val="00AA3485"/>
    <w:rsid w:val="00AA4139"/>
    <w:rsid w:val="00AB2C21"/>
    <w:rsid w:val="00AB58F4"/>
    <w:rsid w:val="00AB6061"/>
    <w:rsid w:val="00AC1A80"/>
    <w:rsid w:val="00AC34D7"/>
    <w:rsid w:val="00AC40AC"/>
    <w:rsid w:val="00AE0509"/>
    <w:rsid w:val="00AE641C"/>
    <w:rsid w:val="00AF49EA"/>
    <w:rsid w:val="00AF75FC"/>
    <w:rsid w:val="00B00DA8"/>
    <w:rsid w:val="00B026CC"/>
    <w:rsid w:val="00B02D97"/>
    <w:rsid w:val="00B0681A"/>
    <w:rsid w:val="00B06CE3"/>
    <w:rsid w:val="00B137C2"/>
    <w:rsid w:val="00B14FFC"/>
    <w:rsid w:val="00B2433E"/>
    <w:rsid w:val="00B24357"/>
    <w:rsid w:val="00B25BB7"/>
    <w:rsid w:val="00B26942"/>
    <w:rsid w:val="00B31DB5"/>
    <w:rsid w:val="00B342AF"/>
    <w:rsid w:val="00B379BB"/>
    <w:rsid w:val="00B42802"/>
    <w:rsid w:val="00B44952"/>
    <w:rsid w:val="00B52099"/>
    <w:rsid w:val="00B628DB"/>
    <w:rsid w:val="00B6516A"/>
    <w:rsid w:val="00B671A8"/>
    <w:rsid w:val="00B71665"/>
    <w:rsid w:val="00B719AE"/>
    <w:rsid w:val="00B72F09"/>
    <w:rsid w:val="00B83C36"/>
    <w:rsid w:val="00B96B64"/>
    <w:rsid w:val="00BA0392"/>
    <w:rsid w:val="00BA3202"/>
    <w:rsid w:val="00BA3401"/>
    <w:rsid w:val="00BB0DEA"/>
    <w:rsid w:val="00BB12F9"/>
    <w:rsid w:val="00BB3382"/>
    <w:rsid w:val="00BB533F"/>
    <w:rsid w:val="00BB5C13"/>
    <w:rsid w:val="00BB694A"/>
    <w:rsid w:val="00BD2151"/>
    <w:rsid w:val="00BD7808"/>
    <w:rsid w:val="00BE2C0E"/>
    <w:rsid w:val="00BE2E47"/>
    <w:rsid w:val="00BE6B6A"/>
    <w:rsid w:val="00BE6C97"/>
    <w:rsid w:val="00C01C57"/>
    <w:rsid w:val="00C0256A"/>
    <w:rsid w:val="00C03D5A"/>
    <w:rsid w:val="00C1020F"/>
    <w:rsid w:val="00C106A7"/>
    <w:rsid w:val="00C11255"/>
    <w:rsid w:val="00C21B7F"/>
    <w:rsid w:val="00C26BC6"/>
    <w:rsid w:val="00C30DFB"/>
    <w:rsid w:val="00C331B7"/>
    <w:rsid w:val="00C33AB0"/>
    <w:rsid w:val="00C343AD"/>
    <w:rsid w:val="00C346BB"/>
    <w:rsid w:val="00C35338"/>
    <w:rsid w:val="00C3626B"/>
    <w:rsid w:val="00C36B81"/>
    <w:rsid w:val="00C46001"/>
    <w:rsid w:val="00C474AE"/>
    <w:rsid w:val="00C47A38"/>
    <w:rsid w:val="00C53925"/>
    <w:rsid w:val="00C53BEC"/>
    <w:rsid w:val="00C57016"/>
    <w:rsid w:val="00C57341"/>
    <w:rsid w:val="00C5795A"/>
    <w:rsid w:val="00C57C64"/>
    <w:rsid w:val="00C57CC5"/>
    <w:rsid w:val="00C65A55"/>
    <w:rsid w:val="00C6768F"/>
    <w:rsid w:val="00C71978"/>
    <w:rsid w:val="00C73052"/>
    <w:rsid w:val="00C80B28"/>
    <w:rsid w:val="00C87407"/>
    <w:rsid w:val="00C91643"/>
    <w:rsid w:val="00C931CB"/>
    <w:rsid w:val="00CA35AB"/>
    <w:rsid w:val="00CA3DE3"/>
    <w:rsid w:val="00CA5C8D"/>
    <w:rsid w:val="00CA70E8"/>
    <w:rsid w:val="00CB63E7"/>
    <w:rsid w:val="00CC115A"/>
    <w:rsid w:val="00CC18D4"/>
    <w:rsid w:val="00CC52B8"/>
    <w:rsid w:val="00CC66A5"/>
    <w:rsid w:val="00CD11CD"/>
    <w:rsid w:val="00CD214F"/>
    <w:rsid w:val="00CD4D9A"/>
    <w:rsid w:val="00CD7595"/>
    <w:rsid w:val="00CE3E51"/>
    <w:rsid w:val="00CE4213"/>
    <w:rsid w:val="00CE4966"/>
    <w:rsid w:val="00CE6C36"/>
    <w:rsid w:val="00CE7F80"/>
    <w:rsid w:val="00CF0093"/>
    <w:rsid w:val="00CF0D2A"/>
    <w:rsid w:val="00CF1698"/>
    <w:rsid w:val="00CF1D1D"/>
    <w:rsid w:val="00CF2365"/>
    <w:rsid w:val="00CF4EC3"/>
    <w:rsid w:val="00CF7019"/>
    <w:rsid w:val="00CF7907"/>
    <w:rsid w:val="00CF7BDA"/>
    <w:rsid w:val="00D01EE3"/>
    <w:rsid w:val="00D049BF"/>
    <w:rsid w:val="00D122D2"/>
    <w:rsid w:val="00D12BC7"/>
    <w:rsid w:val="00D13EDC"/>
    <w:rsid w:val="00D16620"/>
    <w:rsid w:val="00D22AFE"/>
    <w:rsid w:val="00D24339"/>
    <w:rsid w:val="00D24DD8"/>
    <w:rsid w:val="00D25B17"/>
    <w:rsid w:val="00D2600A"/>
    <w:rsid w:val="00D26A04"/>
    <w:rsid w:val="00D27E40"/>
    <w:rsid w:val="00D30079"/>
    <w:rsid w:val="00D3365E"/>
    <w:rsid w:val="00D37E55"/>
    <w:rsid w:val="00D40C34"/>
    <w:rsid w:val="00D419E1"/>
    <w:rsid w:val="00D4271D"/>
    <w:rsid w:val="00D44F62"/>
    <w:rsid w:val="00D45A5D"/>
    <w:rsid w:val="00D51940"/>
    <w:rsid w:val="00D52A8B"/>
    <w:rsid w:val="00D555B4"/>
    <w:rsid w:val="00D5698C"/>
    <w:rsid w:val="00D60AC9"/>
    <w:rsid w:val="00D6296D"/>
    <w:rsid w:val="00D64CB3"/>
    <w:rsid w:val="00D65DDE"/>
    <w:rsid w:val="00D72B6F"/>
    <w:rsid w:val="00D77810"/>
    <w:rsid w:val="00D80BB3"/>
    <w:rsid w:val="00D80F5D"/>
    <w:rsid w:val="00D828EB"/>
    <w:rsid w:val="00D8297C"/>
    <w:rsid w:val="00D84ABD"/>
    <w:rsid w:val="00D84BE5"/>
    <w:rsid w:val="00D85230"/>
    <w:rsid w:val="00D8539E"/>
    <w:rsid w:val="00D8700A"/>
    <w:rsid w:val="00D93418"/>
    <w:rsid w:val="00D93BDC"/>
    <w:rsid w:val="00D943E5"/>
    <w:rsid w:val="00D9710E"/>
    <w:rsid w:val="00DA1F88"/>
    <w:rsid w:val="00DA48FD"/>
    <w:rsid w:val="00DB014A"/>
    <w:rsid w:val="00DB4E6B"/>
    <w:rsid w:val="00DB5090"/>
    <w:rsid w:val="00DB690E"/>
    <w:rsid w:val="00DB6C5E"/>
    <w:rsid w:val="00DC3541"/>
    <w:rsid w:val="00DC4070"/>
    <w:rsid w:val="00DC432F"/>
    <w:rsid w:val="00DC5D40"/>
    <w:rsid w:val="00DD0254"/>
    <w:rsid w:val="00DD18CD"/>
    <w:rsid w:val="00DD28FB"/>
    <w:rsid w:val="00DD4BCD"/>
    <w:rsid w:val="00DD7FC9"/>
    <w:rsid w:val="00DE2F5F"/>
    <w:rsid w:val="00DE39B8"/>
    <w:rsid w:val="00DE45E6"/>
    <w:rsid w:val="00DF72BA"/>
    <w:rsid w:val="00DF73B1"/>
    <w:rsid w:val="00E0243C"/>
    <w:rsid w:val="00E07F94"/>
    <w:rsid w:val="00E13DF5"/>
    <w:rsid w:val="00E1633C"/>
    <w:rsid w:val="00E16404"/>
    <w:rsid w:val="00E16497"/>
    <w:rsid w:val="00E25D8A"/>
    <w:rsid w:val="00E31229"/>
    <w:rsid w:val="00E31FC1"/>
    <w:rsid w:val="00E3367B"/>
    <w:rsid w:val="00E344AA"/>
    <w:rsid w:val="00E36DB1"/>
    <w:rsid w:val="00E401E9"/>
    <w:rsid w:val="00E43EDA"/>
    <w:rsid w:val="00E44E11"/>
    <w:rsid w:val="00E45295"/>
    <w:rsid w:val="00E47ACC"/>
    <w:rsid w:val="00E555F0"/>
    <w:rsid w:val="00E577F2"/>
    <w:rsid w:val="00E628C2"/>
    <w:rsid w:val="00E6427E"/>
    <w:rsid w:val="00E86A45"/>
    <w:rsid w:val="00E8798E"/>
    <w:rsid w:val="00E94975"/>
    <w:rsid w:val="00E959CF"/>
    <w:rsid w:val="00E973A9"/>
    <w:rsid w:val="00E97C68"/>
    <w:rsid w:val="00EA29BF"/>
    <w:rsid w:val="00EA307E"/>
    <w:rsid w:val="00EA71C5"/>
    <w:rsid w:val="00EB1276"/>
    <w:rsid w:val="00EB316E"/>
    <w:rsid w:val="00EB3B7D"/>
    <w:rsid w:val="00EB4CE4"/>
    <w:rsid w:val="00EB6365"/>
    <w:rsid w:val="00EC3263"/>
    <w:rsid w:val="00EC48BD"/>
    <w:rsid w:val="00EC4B07"/>
    <w:rsid w:val="00EC71BC"/>
    <w:rsid w:val="00ED1E2F"/>
    <w:rsid w:val="00ED2559"/>
    <w:rsid w:val="00ED2929"/>
    <w:rsid w:val="00ED4A7F"/>
    <w:rsid w:val="00EE03D1"/>
    <w:rsid w:val="00EE0815"/>
    <w:rsid w:val="00EE15C0"/>
    <w:rsid w:val="00EE5A4E"/>
    <w:rsid w:val="00EE5FE5"/>
    <w:rsid w:val="00EF2CD0"/>
    <w:rsid w:val="00EF4302"/>
    <w:rsid w:val="00EF45B1"/>
    <w:rsid w:val="00EF67D6"/>
    <w:rsid w:val="00EF6DDC"/>
    <w:rsid w:val="00F03AA8"/>
    <w:rsid w:val="00F07B59"/>
    <w:rsid w:val="00F115F8"/>
    <w:rsid w:val="00F12866"/>
    <w:rsid w:val="00F12BA6"/>
    <w:rsid w:val="00F1313E"/>
    <w:rsid w:val="00F14031"/>
    <w:rsid w:val="00F155CA"/>
    <w:rsid w:val="00F160E2"/>
    <w:rsid w:val="00F171A8"/>
    <w:rsid w:val="00F176BC"/>
    <w:rsid w:val="00F203F0"/>
    <w:rsid w:val="00F20FB9"/>
    <w:rsid w:val="00F21FEB"/>
    <w:rsid w:val="00F260E1"/>
    <w:rsid w:val="00F27862"/>
    <w:rsid w:val="00F32378"/>
    <w:rsid w:val="00F32581"/>
    <w:rsid w:val="00F342A3"/>
    <w:rsid w:val="00F35D8D"/>
    <w:rsid w:val="00F36717"/>
    <w:rsid w:val="00F36B72"/>
    <w:rsid w:val="00F4147B"/>
    <w:rsid w:val="00F41BD8"/>
    <w:rsid w:val="00F43400"/>
    <w:rsid w:val="00F440DB"/>
    <w:rsid w:val="00F4457F"/>
    <w:rsid w:val="00F47821"/>
    <w:rsid w:val="00F540F5"/>
    <w:rsid w:val="00F54192"/>
    <w:rsid w:val="00F625F0"/>
    <w:rsid w:val="00F63764"/>
    <w:rsid w:val="00F63EC5"/>
    <w:rsid w:val="00F73223"/>
    <w:rsid w:val="00F9133D"/>
    <w:rsid w:val="00F92FCE"/>
    <w:rsid w:val="00F9332E"/>
    <w:rsid w:val="00F9431A"/>
    <w:rsid w:val="00F94A19"/>
    <w:rsid w:val="00FA3BAA"/>
    <w:rsid w:val="00FA4182"/>
    <w:rsid w:val="00FA5131"/>
    <w:rsid w:val="00FA5C85"/>
    <w:rsid w:val="00FB106F"/>
    <w:rsid w:val="00FB5B46"/>
    <w:rsid w:val="00FC27C6"/>
    <w:rsid w:val="00FC2CB9"/>
    <w:rsid w:val="00FC5B02"/>
    <w:rsid w:val="00FC6F9D"/>
    <w:rsid w:val="00FD1A5E"/>
    <w:rsid w:val="00FD2730"/>
    <w:rsid w:val="00FD3A00"/>
    <w:rsid w:val="00FE6110"/>
    <w:rsid w:val="00FE6C8C"/>
    <w:rsid w:val="00FE7FE8"/>
    <w:rsid w:val="00FF055F"/>
    <w:rsid w:val="00FF197C"/>
    <w:rsid w:val="00FF5E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743F3"/>
  <w15:docId w15:val="{DD9EBBAD-6A55-4A44-84C8-29D3BD78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B7F"/>
    <w:rPr>
      <w:lang w:val="en-US" w:eastAsia="es-ES"/>
    </w:rPr>
  </w:style>
  <w:style w:type="paragraph" w:styleId="Ttulo1">
    <w:name w:val="heading 1"/>
    <w:basedOn w:val="Normal"/>
    <w:next w:val="Normal"/>
    <w:qFormat/>
    <w:rsid w:val="00C21B7F"/>
    <w:pPr>
      <w:keepNext/>
      <w:jc w:val="center"/>
      <w:outlineLvl w:val="0"/>
    </w:pPr>
    <w:rPr>
      <w:b/>
      <w:i/>
      <w:sz w:val="24"/>
      <w:lang w:val="es-MX"/>
    </w:rPr>
  </w:style>
  <w:style w:type="paragraph" w:styleId="Ttulo2">
    <w:name w:val="heading 2"/>
    <w:basedOn w:val="Normal"/>
    <w:next w:val="Normal"/>
    <w:qFormat/>
    <w:rsid w:val="00C21B7F"/>
    <w:pPr>
      <w:keepNext/>
      <w:ind w:firstLine="540"/>
      <w:outlineLvl w:val="1"/>
    </w:pPr>
    <w:rPr>
      <w:sz w:val="24"/>
      <w:lang w:val="es-MX"/>
    </w:rPr>
  </w:style>
  <w:style w:type="paragraph" w:styleId="Ttulo3">
    <w:name w:val="heading 3"/>
    <w:basedOn w:val="Normal"/>
    <w:next w:val="Normal"/>
    <w:qFormat/>
    <w:rsid w:val="00C21B7F"/>
    <w:pPr>
      <w:keepNext/>
      <w:outlineLvl w:val="2"/>
    </w:pPr>
    <w:rPr>
      <w:b/>
      <w:lang w:val="es-MX"/>
    </w:rPr>
  </w:style>
  <w:style w:type="paragraph" w:styleId="Ttulo4">
    <w:name w:val="heading 4"/>
    <w:basedOn w:val="Normal"/>
    <w:next w:val="Normal"/>
    <w:qFormat/>
    <w:rsid w:val="00C21B7F"/>
    <w:pPr>
      <w:keepNext/>
      <w:ind w:firstLine="567"/>
      <w:outlineLvl w:val="3"/>
    </w:pPr>
    <w:rPr>
      <w:sz w:val="24"/>
      <w:lang w:val="es-MX"/>
    </w:rPr>
  </w:style>
  <w:style w:type="paragraph" w:styleId="Ttulo5">
    <w:name w:val="heading 5"/>
    <w:basedOn w:val="Normal"/>
    <w:next w:val="Normal"/>
    <w:qFormat/>
    <w:rsid w:val="00C21B7F"/>
    <w:pPr>
      <w:keepNext/>
      <w:outlineLvl w:val="4"/>
    </w:pPr>
    <w:rPr>
      <w:b/>
      <w:i/>
      <w:sz w:val="24"/>
      <w:lang w:val="es-MX"/>
    </w:rPr>
  </w:style>
  <w:style w:type="paragraph" w:styleId="Ttulo6">
    <w:name w:val="heading 6"/>
    <w:basedOn w:val="Normal"/>
    <w:next w:val="Normal"/>
    <w:qFormat/>
    <w:rsid w:val="00C21B7F"/>
    <w:pPr>
      <w:keepNext/>
      <w:outlineLvl w:val="5"/>
    </w:pPr>
    <w:rPr>
      <w:sz w:val="24"/>
      <w:lang w:val="es-MX"/>
    </w:rPr>
  </w:style>
  <w:style w:type="paragraph" w:styleId="Ttulo7">
    <w:name w:val="heading 7"/>
    <w:basedOn w:val="Normal"/>
    <w:next w:val="Normal"/>
    <w:qFormat/>
    <w:rsid w:val="00C21B7F"/>
    <w:pPr>
      <w:keepNext/>
      <w:outlineLvl w:val="6"/>
    </w:pPr>
    <w:rPr>
      <w:b/>
      <w:sz w:val="24"/>
      <w:lang w:val="es-MX"/>
    </w:rPr>
  </w:style>
  <w:style w:type="paragraph" w:styleId="Ttulo8">
    <w:name w:val="heading 8"/>
    <w:basedOn w:val="Normal"/>
    <w:next w:val="Normal"/>
    <w:qFormat/>
    <w:rsid w:val="00C21B7F"/>
    <w:pPr>
      <w:keepNext/>
      <w:outlineLvl w:val="7"/>
    </w:pPr>
    <w:rPr>
      <w:b/>
      <w:sz w:val="28"/>
      <w:lang w:val="es-MX"/>
    </w:rPr>
  </w:style>
  <w:style w:type="paragraph" w:styleId="Ttulo9">
    <w:name w:val="heading 9"/>
    <w:basedOn w:val="Normal"/>
    <w:next w:val="Normal"/>
    <w:qFormat/>
    <w:rsid w:val="00C21B7F"/>
    <w:pPr>
      <w:keepNext/>
      <w:outlineLvl w:val="8"/>
    </w:pPr>
    <w:rPr>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C21B7F"/>
    <w:pPr>
      <w:jc w:val="center"/>
    </w:pPr>
    <w:rPr>
      <w:b/>
      <w:i/>
      <w:sz w:val="24"/>
      <w:lang w:val="es-MX"/>
    </w:rPr>
  </w:style>
  <w:style w:type="paragraph" w:styleId="Subttulo">
    <w:name w:val="Subtitle"/>
    <w:basedOn w:val="Normal"/>
    <w:qFormat/>
    <w:rsid w:val="00C21B7F"/>
    <w:pPr>
      <w:jc w:val="center"/>
    </w:pPr>
    <w:rPr>
      <w:sz w:val="24"/>
      <w:u w:val="single"/>
      <w:lang w:val="es-MX"/>
    </w:rPr>
  </w:style>
  <w:style w:type="paragraph" w:styleId="Piedepgina">
    <w:name w:val="footer"/>
    <w:basedOn w:val="Normal"/>
    <w:link w:val="PiedepginaCar"/>
    <w:uiPriority w:val="99"/>
    <w:rsid w:val="00C21B7F"/>
    <w:pPr>
      <w:tabs>
        <w:tab w:val="center" w:pos="4419"/>
        <w:tab w:val="right" w:pos="8838"/>
      </w:tabs>
    </w:pPr>
  </w:style>
  <w:style w:type="character" w:styleId="Nmerodepgina">
    <w:name w:val="page number"/>
    <w:basedOn w:val="Fuentedeprrafopredeter"/>
    <w:rsid w:val="00C21B7F"/>
  </w:style>
  <w:style w:type="paragraph" w:styleId="Sangradetextonormal">
    <w:name w:val="Body Text Indent"/>
    <w:basedOn w:val="Normal"/>
    <w:rsid w:val="00C21B7F"/>
    <w:pPr>
      <w:ind w:firstLine="540"/>
      <w:jc w:val="both"/>
    </w:pPr>
    <w:rPr>
      <w:sz w:val="24"/>
      <w:lang w:val="es-MX"/>
    </w:rPr>
  </w:style>
  <w:style w:type="paragraph" w:styleId="Textonotapie">
    <w:name w:val="footnote text"/>
    <w:basedOn w:val="Normal"/>
    <w:semiHidden/>
    <w:rsid w:val="00C21B7F"/>
  </w:style>
  <w:style w:type="character" w:styleId="Refdenotaalpie">
    <w:name w:val="footnote reference"/>
    <w:basedOn w:val="Fuentedeprrafopredeter"/>
    <w:semiHidden/>
    <w:rsid w:val="00C21B7F"/>
    <w:rPr>
      <w:vertAlign w:val="superscript"/>
    </w:rPr>
  </w:style>
  <w:style w:type="paragraph" w:styleId="Sangra2detindependiente">
    <w:name w:val="Body Text Indent 2"/>
    <w:basedOn w:val="Normal"/>
    <w:rsid w:val="00C21B7F"/>
    <w:pPr>
      <w:ind w:firstLine="540"/>
    </w:pPr>
    <w:rPr>
      <w:sz w:val="24"/>
      <w:lang w:val="es-MX"/>
    </w:rPr>
  </w:style>
  <w:style w:type="paragraph" w:styleId="Sangra3detindependiente">
    <w:name w:val="Body Text Indent 3"/>
    <w:basedOn w:val="Normal"/>
    <w:link w:val="Sangra3detindependienteCar"/>
    <w:rsid w:val="00C21B7F"/>
    <w:pPr>
      <w:ind w:firstLine="567"/>
      <w:jc w:val="both"/>
    </w:pPr>
    <w:rPr>
      <w:sz w:val="24"/>
      <w:lang w:val="es-MX"/>
    </w:rPr>
  </w:style>
  <w:style w:type="paragraph" w:styleId="Textoindependiente">
    <w:name w:val="Body Text"/>
    <w:basedOn w:val="Normal"/>
    <w:rsid w:val="00C21B7F"/>
    <w:rPr>
      <w:b/>
      <w:sz w:val="24"/>
      <w:lang w:val="es-MX"/>
    </w:rPr>
  </w:style>
  <w:style w:type="paragraph" w:styleId="Textoindependiente3">
    <w:name w:val="Body Text 3"/>
    <w:basedOn w:val="Normal"/>
    <w:rsid w:val="00C21B7F"/>
    <w:pPr>
      <w:tabs>
        <w:tab w:val="left" w:pos="-720"/>
      </w:tabs>
      <w:suppressAutoHyphens/>
      <w:jc w:val="both"/>
    </w:pPr>
    <w:rPr>
      <w:spacing w:val="-3"/>
      <w:sz w:val="24"/>
    </w:rPr>
  </w:style>
  <w:style w:type="paragraph" w:styleId="Textodebloque">
    <w:name w:val="Block Text"/>
    <w:basedOn w:val="Normal"/>
    <w:rsid w:val="00C21B7F"/>
    <w:pPr>
      <w:ind w:left="284" w:right="49"/>
      <w:jc w:val="both"/>
    </w:pPr>
    <w:rPr>
      <w:lang w:val="es-MX"/>
    </w:rPr>
  </w:style>
  <w:style w:type="paragraph" w:styleId="Encabezadodelista">
    <w:name w:val="toa heading"/>
    <w:basedOn w:val="Normal"/>
    <w:next w:val="Normal"/>
    <w:semiHidden/>
    <w:rsid w:val="00C21B7F"/>
    <w:pPr>
      <w:tabs>
        <w:tab w:val="left" w:pos="9000"/>
        <w:tab w:val="right" w:pos="9360"/>
      </w:tabs>
      <w:suppressAutoHyphens/>
    </w:pPr>
    <w:rPr>
      <w:rFonts w:ascii="Courier New" w:hAnsi="Courier New"/>
      <w:sz w:val="24"/>
    </w:rPr>
  </w:style>
  <w:style w:type="paragraph" w:styleId="Textoindependiente2">
    <w:name w:val="Body Text 2"/>
    <w:basedOn w:val="Normal"/>
    <w:rsid w:val="00C21B7F"/>
    <w:rPr>
      <w:sz w:val="24"/>
      <w:lang w:val="es-ES"/>
    </w:rPr>
  </w:style>
  <w:style w:type="paragraph" w:styleId="Encabezado">
    <w:name w:val="header"/>
    <w:basedOn w:val="Normal"/>
    <w:link w:val="EncabezadoCar"/>
    <w:uiPriority w:val="99"/>
    <w:rsid w:val="00126A55"/>
    <w:pPr>
      <w:tabs>
        <w:tab w:val="center" w:pos="4419"/>
        <w:tab w:val="right" w:pos="8838"/>
      </w:tabs>
    </w:pPr>
  </w:style>
  <w:style w:type="paragraph" w:styleId="Listaconvietas">
    <w:name w:val="List Bullet"/>
    <w:basedOn w:val="Normal"/>
    <w:rsid w:val="00556D47"/>
    <w:pPr>
      <w:numPr>
        <w:numId w:val="18"/>
      </w:numPr>
    </w:pPr>
    <w:rPr>
      <w:sz w:val="24"/>
      <w:szCs w:val="24"/>
      <w:lang w:val="es-ES"/>
    </w:rPr>
  </w:style>
  <w:style w:type="character" w:styleId="Hipervnculo">
    <w:name w:val="Hyperlink"/>
    <w:basedOn w:val="Fuentedeprrafopredeter"/>
    <w:rsid w:val="00556D47"/>
    <w:rPr>
      <w:color w:val="0000FF"/>
      <w:u w:val="single"/>
    </w:rPr>
  </w:style>
  <w:style w:type="character" w:styleId="Hipervnculovisitado">
    <w:name w:val="FollowedHyperlink"/>
    <w:basedOn w:val="Fuentedeprrafopredeter"/>
    <w:rsid w:val="00556D47"/>
    <w:rPr>
      <w:color w:val="800080"/>
      <w:u w:val="single"/>
    </w:rPr>
  </w:style>
  <w:style w:type="paragraph" w:styleId="Textodeglobo">
    <w:name w:val="Balloon Text"/>
    <w:basedOn w:val="Normal"/>
    <w:link w:val="TextodegloboCar"/>
    <w:uiPriority w:val="99"/>
    <w:semiHidden/>
    <w:unhideWhenUsed/>
    <w:rsid w:val="00944002"/>
    <w:rPr>
      <w:rFonts w:ascii="Tahoma" w:hAnsi="Tahoma" w:cs="Tahoma"/>
      <w:sz w:val="16"/>
      <w:szCs w:val="16"/>
    </w:rPr>
  </w:style>
  <w:style w:type="character" w:customStyle="1" w:styleId="TextodegloboCar">
    <w:name w:val="Texto de globo Car"/>
    <w:basedOn w:val="Fuentedeprrafopredeter"/>
    <w:link w:val="Textodeglobo"/>
    <w:uiPriority w:val="99"/>
    <w:semiHidden/>
    <w:rsid w:val="00944002"/>
    <w:rPr>
      <w:rFonts w:ascii="Tahoma" w:hAnsi="Tahoma" w:cs="Tahoma"/>
      <w:sz w:val="16"/>
      <w:szCs w:val="16"/>
      <w:lang w:val="en-US" w:eastAsia="es-ES"/>
    </w:rPr>
  </w:style>
  <w:style w:type="character" w:customStyle="1" w:styleId="Mencinsinresolver1">
    <w:name w:val="Mención sin resolver1"/>
    <w:basedOn w:val="Fuentedeprrafopredeter"/>
    <w:uiPriority w:val="99"/>
    <w:semiHidden/>
    <w:unhideWhenUsed/>
    <w:rsid w:val="00B00DA8"/>
    <w:rPr>
      <w:color w:val="605E5C"/>
      <w:shd w:val="clear" w:color="auto" w:fill="E1DFDD"/>
    </w:rPr>
  </w:style>
  <w:style w:type="character" w:customStyle="1" w:styleId="EncabezadoCar">
    <w:name w:val="Encabezado Car"/>
    <w:basedOn w:val="Fuentedeprrafopredeter"/>
    <w:link w:val="Encabezado"/>
    <w:uiPriority w:val="99"/>
    <w:rsid w:val="00B00DA8"/>
    <w:rPr>
      <w:lang w:val="en-US" w:eastAsia="es-ES"/>
    </w:rPr>
  </w:style>
  <w:style w:type="character" w:customStyle="1" w:styleId="PiedepginaCar">
    <w:name w:val="Pie de página Car"/>
    <w:basedOn w:val="Fuentedeprrafopredeter"/>
    <w:link w:val="Piedepgina"/>
    <w:uiPriority w:val="99"/>
    <w:rsid w:val="00586924"/>
    <w:rPr>
      <w:lang w:val="en-US" w:eastAsia="es-ES"/>
    </w:rPr>
  </w:style>
  <w:style w:type="character" w:styleId="Textodelmarcadordeposicin">
    <w:name w:val="Placeholder Text"/>
    <w:basedOn w:val="Fuentedeprrafopredeter"/>
    <w:uiPriority w:val="99"/>
    <w:semiHidden/>
    <w:rsid w:val="00A80622"/>
    <w:rPr>
      <w:color w:val="808080"/>
    </w:rPr>
  </w:style>
  <w:style w:type="character" w:customStyle="1" w:styleId="Sangra3detindependienteCar">
    <w:name w:val="Sangría 3 de t. independiente Car"/>
    <w:basedOn w:val="Fuentedeprrafopredeter"/>
    <w:link w:val="Sangra3detindependiente"/>
    <w:rsid w:val="00716549"/>
    <w:rPr>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215663">
      <w:bodyDiv w:val="1"/>
      <w:marLeft w:val="0"/>
      <w:marRight w:val="0"/>
      <w:marTop w:val="0"/>
      <w:marBottom w:val="0"/>
      <w:divBdr>
        <w:top w:val="none" w:sz="0" w:space="0" w:color="auto"/>
        <w:left w:val="none" w:sz="0" w:space="0" w:color="auto"/>
        <w:bottom w:val="none" w:sz="0" w:space="0" w:color="auto"/>
        <w:right w:val="none" w:sz="0" w:space="0" w:color="auto"/>
      </w:divBdr>
      <w:divsChild>
        <w:div w:id="640042240">
          <w:marLeft w:val="0"/>
          <w:marRight w:val="0"/>
          <w:marTop w:val="15"/>
          <w:marBottom w:val="0"/>
          <w:divBdr>
            <w:top w:val="none" w:sz="0" w:space="0" w:color="auto"/>
            <w:left w:val="none" w:sz="0" w:space="0" w:color="auto"/>
            <w:bottom w:val="none" w:sz="0" w:space="0" w:color="auto"/>
            <w:right w:val="none" w:sz="0" w:space="0" w:color="auto"/>
          </w:divBdr>
          <w:divsChild>
            <w:div w:id="2002542539">
              <w:marLeft w:val="0"/>
              <w:marRight w:val="0"/>
              <w:marTop w:val="0"/>
              <w:marBottom w:val="0"/>
              <w:divBdr>
                <w:top w:val="none" w:sz="0" w:space="0" w:color="auto"/>
                <w:left w:val="none" w:sz="0" w:space="0" w:color="auto"/>
                <w:bottom w:val="none" w:sz="0" w:space="0" w:color="auto"/>
                <w:right w:val="none" w:sz="0" w:space="0" w:color="auto"/>
              </w:divBdr>
              <w:divsChild>
                <w:div w:id="245652473">
                  <w:marLeft w:val="0"/>
                  <w:marRight w:val="0"/>
                  <w:marTop w:val="0"/>
                  <w:marBottom w:val="0"/>
                  <w:divBdr>
                    <w:top w:val="none" w:sz="0" w:space="0" w:color="auto"/>
                    <w:left w:val="none" w:sz="0" w:space="0" w:color="auto"/>
                    <w:bottom w:val="none" w:sz="0" w:space="0" w:color="auto"/>
                    <w:right w:val="none" w:sz="0" w:space="0" w:color="auto"/>
                  </w:divBdr>
                </w:div>
                <w:div w:id="206383087">
                  <w:marLeft w:val="0"/>
                  <w:marRight w:val="0"/>
                  <w:marTop w:val="0"/>
                  <w:marBottom w:val="0"/>
                  <w:divBdr>
                    <w:top w:val="none" w:sz="0" w:space="0" w:color="auto"/>
                    <w:left w:val="none" w:sz="0" w:space="0" w:color="auto"/>
                    <w:bottom w:val="none" w:sz="0" w:space="0" w:color="auto"/>
                    <w:right w:val="none" w:sz="0" w:space="0" w:color="auto"/>
                  </w:divBdr>
                </w:div>
                <w:div w:id="2099134864">
                  <w:marLeft w:val="0"/>
                  <w:marRight w:val="0"/>
                  <w:marTop w:val="0"/>
                  <w:marBottom w:val="0"/>
                  <w:divBdr>
                    <w:top w:val="none" w:sz="0" w:space="0" w:color="auto"/>
                    <w:left w:val="none" w:sz="0" w:space="0" w:color="auto"/>
                    <w:bottom w:val="none" w:sz="0" w:space="0" w:color="auto"/>
                    <w:right w:val="none" w:sz="0" w:space="0" w:color="auto"/>
                  </w:divBdr>
                </w:div>
                <w:div w:id="1367363482">
                  <w:marLeft w:val="0"/>
                  <w:marRight w:val="0"/>
                  <w:marTop w:val="0"/>
                  <w:marBottom w:val="0"/>
                  <w:divBdr>
                    <w:top w:val="none" w:sz="0" w:space="0" w:color="auto"/>
                    <w:left w:val="none" w:sz="0" w:space="0" w:color="auto"/>
                    <w:bottom w:val="none" w:sz="0" w:space="0" w:color="auto"/>
                    <w:right w:val="none" w:sz="0" w:space="0" w:color="auto"/>
                  </w:divBdr>
                </w:div>
                <w:div w:id="1999261797">
                  <w:marLeft w:val="0"/>
                  <w:marRight w:val="0"/>
                  <w:marTop w:val="0"/>
                  <w:marBottom w:val="0"/>
                  <w:divBdr>
                    <w:top w:val="none" w:sz="0" w:space="0" w:color="auto"/>
                    <w:left w:val="none" w:sz="0" w:space="0" w:color="auto"/>
                    <w:bottom w:val="none" w:sz="0" w:space="0" w:color="auto"/>
                    <w:right w:val="none" w:sz="0" w:space="0" w:color="auto"/>
                  </w:divBdr>
                </w:div>
                <w:div w:id="1192183731">
                  <w:marLeft w:val="0"/>
                  <w:marRight w:val="0"/>
                  <w:marTop w:val="0"/>
                  <w:marBottom w:val="0"/>
                  <w:divBdr>
                    <w:top w:val="none" w:sz="0" w:space="0" w:color="auto"/>
                    <w:left w:val="none" w:sz="0" w:space="0" w:color="auto"/>
                    <w:bottom w:val="none" w:sz="0" w:space="0" w:color="auto"/>
                    <w:right w:val="none" w:sz="0" w:space="0" w:color="auto"/>
                  </w:divBdr>
                </w:div>
                <w:div w:id="1119909421">
                  <w:marLeft w:val="0"/>
                  <w:marRight w:val="0"/>
                  <w:marTop w:val="0"/>
                  <w:marBottom w:val="0"/>
                  <w:divBdr>
                    <w:top w:val="none" w:sz="0" w:space="0" w:color="auto"/>
                    <w:left w:val="none" w:sz="0" w:space="0" w:color="auto"/>
                    <w:bottom w:val="none" w:sz="0" w:space="0" w:color="auto"/>
                    <w:right w:val="none" w:sz="0" w:space="0" w:color="auto"/>
                  </w:divBdr>
                </w:div>
                <w:div w:id="1294139936">
                  <w:marLeft w:val="0"/>
                  <w:marRight w:val="0"/>
                  <w:marTop w:val="0"/>
                  <w:marBottom w:val="0"/>
                  <w:divBdr>
                    <w:top w:val="none" w:sz="0" w:space="0" w:color="auto"/>
                    <w:left w:val="none" w:sz="0" w:space="0" w:color="auto"/>
                    <w:bottom w:val="none" w:sz="0" w:space="0" w:color="auto"/>
                    <w:right w:val="none" w:sz="0" w:space="0" w:color="auto"/>
                  </w:divBdr>
                </w:div>
                <w:div w:id="431364852">
                  <w:marLeft w:val="0"/>
                  <w:marRight w:val="0"/>
                  <w:marTop w:val="0"/>
                  <w:marBottom w:val="0"/>
                  <w:divBdr>
                    <w:top w:val="none" w:sz="0" w:space="0" w:color="auto"/>
                    <w:left w:val="none" w:sz="0" w:space="0" w:color="auto"/>
                    <w:bottom w:val="none" w:sz="0" w:space="0" w:color="auto"/>
                    <w:right w:val="none" w:sz="0" w:space="0" w:color="auto"/>
                  </w:divBdr>
                </w:div>
                <w:div w:id="519049995">
                  <w:marLeft w:val="0"/>
                  <w:marRight w:val="0"/>
                  <w:marTop w:val="0"/>
                  <w:marBottom w:val="0"/>
                  <w:divBdr>
                    <w:top w:val="none" w:sz="0" w:space="0" w:color="auto"/>
                    <w:left w:val="none" w:sz="0" w:space="0" w:color="auto"/>
                    <w:bottom w:val="none" w:sz="0" w:space="0" w:color="auto"/>
                    <w:right w:val="none" w:sz="0" w:space="0" w:color="auto"/>
                  </w:divBdr>
                </w:div>
                <w:div w:id="552426753">
                  <w:marLeft w:val="0"/>
                  <w:marRight w:val="0"/>
                  <w:marTop w:val="0"/>
                  <w:marBottom w:val="0"/>
                  <w:divBdr>
                    <w:top w:val="none" w:sz="0" w:space="0" w:color="auto"/>
                    <w:left w:val="none" w:sz="0" w:space="0" w:color="auto"/>
                    <w:bottom w:val="none" w:sz="0" w:space="0" w:color="auto"/>
                    <w:right w:val="none" w:sz="0" w:space="0" w:color="auto"/>
                  </w:divBdr>
                </w:div>
                <w:div w:id="502353446">
                  <w:marLeft w:val="0"/>
                  <w:marRight w:val="0"/>
                  <w:marTop w:val="0"/>
                  <w:marBottom w:val="0"/>
                  <w:divBdr>
                    <w:top w:val="none" w:sz="0" w:space="0" w:color="auto"/>
                    <w:left w:val="none" w:sz="0" w:space="0" w:color="auto"/>
                    <w:bottom w:val="none" w:sz="0" w:space="0" w:color="auto"/>
                    <w:right w:val="none" w:sz="0" w:space="0" w:color="auto"/>
                  </w:divBdr>
                </w:div>
                <w:div w:id="776339812">
                  <w:marLeft w:val="0"/>
                  <w:marRight w:val="0"/>
                  <w:marTop w:val="0"/>
                  <w:marBottom w:val="0"/>
                  <w:divBdr>
                    <w:top w:val="none" w:sz="0" w:space="0" w:color="auto"/>
                    <w:left w:val="none" w:sz="0" w:space="0" w:color="auto"/>
                    <w:bottom w:val="none" w:sz="0" w:space="0" w:color="auto"/>
                    <w:right w:val="none" w:sz="0" w:space="0" w:color="auto"/>
                  </w:divBdr>
                </w:div>
                <w:div w:id="1623000646">
                  <w:marLeft w:val="0"/>
                  <w:marRight w:val="0"/>
                  <w:marTop w:val="0"/>
                  <w:marBottom w:val="0"/>
                  <w:divBdr>
                    <w:top w:val="none" w:sz="0" w:space="0" w:color="auto"/>
                    <w:left w:val="none" w:sz="0" w:space="0" w:color="auto"/>
                    <w:bottom w:val="none" w:sz="0" w:space="0" w:color="auto"/>
                    <w:right w:val="none" w:sz="0" w:space="0" w:color="auto"/>
                  </w:divBdr>
                </w:div>
                <w:div w:id="778645956">
                  <w:marLeft w:val="0"/>
                  <w:marRight w:val="0"/>
                  <w:marTop w:val="0"/>
                  <w:marBottom w:val="0"/>
                  <w:divBdr>
                    <w:top w:val="none" w:sz="0" w:space="0" w:color="auto"/>
                    <w:left w:val="none" w:sz="0" w:space="0" w:color="auto"/>
                    <w:bottom w:val="none" w:sz="0" w:space="0" w:color="auto"/>
                    <w:right w:val="none" w:sz="0" w:space="0" w:color="auto"/>
                  </w:divBdr>
                </w:div>
                <w:div w:id="1308438402">
                  <w:marLeft w:val="0"/>
                  <w:marRight w:val="0"/>
                  <w:marTop w:val="0"/>
                  <w:marBottom w:val="0"/>
                  <w:divBdr>
                    <w:top w:val="none" w:sz="0" w:space="0" w:color="auto"/>
                    <w:left w:val="none" w:sz="0" w:space="0" w:color="auto"/>
                    <w:bottom w:val="none" w:sz="0" w:space="0" w:color="auto"/>
                    <w:right w:val="none" w:sz="0" w:space="0" w:color="auto"/>
                  </w:divBdr>
                </w:div>
                <w:div w:id="784353863">
                  <w:marLeft w:val="0"/>
                  <w:marRight w:val="0"/>
                  <w:marTop w:val="0"/>
                  <w:marBottom w:val="0"/>
                  <w:divBdr>
                    <w:top w:val="none" w:sz="0" w:space="0" w:color="auto"/>
                    <w:left w:val="none" w:sz="0" w:space="0" w:color="auto"/>
                    <w:bottom w:val="none" w:sz="0" w:space="0" w:color="auto"/>
                    <w:right w:val="none" w:sz="0" w:space="0" w:color="auto"/>
                  </w:divBdr>
                </w:div>
                <w:div w:id="745616170">
                  <w:marLeft w:val="0"/>
                  <w:marRight w:val="0"/>
                  <w:marTop w:val="0"/>
                  <w:marBottom w:val="0"/>
                  <w:divBdr>
                    <w:top w:val="none" w:sz="0" w:space="0" w:color="auto"/>
                    <w:left w:val="none" w:sz="0" w:space="0" w:color="auto"/>
                    <w:bottom w:val="none" w:sz="0" w:space="0" w:color="auto"/>
                    <w:right w:val="none" w:sz="0" w:space="0" w:color="auto"/>
                  </w:divBdr>
                </w:div>
                <w:div w:id="1821193293">
                  <w:marLeft w:val="0"/>
                  <w:marRight w:val="0"/>
                  <w:marTop w:val="0"/>
                  <w:marBottom w:val="0"/>
                  <w:divBdr>
                    <w:top w:val="none" w:sz="0" w:space="0" w:color="auto"/>
                    <w:left w:val="none" w:sz="0" w:space="0" w:color="auto"/>
                    <w:bottom w:val="none" w:sz="0" w:space="0" w:color="auto"/>
                    <w:right w:val="none" w:sz="0" w:space="0" w:color="auto"/>
                  </w:divBdr>
                </w:div>
                <w:div w:id="396125093">
                  <w:marLeft w:val="0"/>
                  <w:marRight w:val="0"/>
                  <w:marTop w:val="0"/>
                  <w:marBottom w:val="0"/>
                  <w:divBdr>
                    <w:top w:val="none" w:sz="0" w:space="0" w:color="auto"/>
                    <w:left w:val="none" w:sz="0" w:space="0" w:color="auto"/>
                    <w:bottom w:val="none" w:sz="0" w:space="0" w:color="auto"/>
                    <w:right w:val="none" w:sz="0" w:space="0" w:color="auto"/>
                  </w:divBdr>
                </w:div>
                <w:div w:id="1541938066">
                  <w:marLeft w:val="0"/>
                  <w:marRight w:val="0"/>
                  <w:marTop w:val="0"/>
                  <w:marBottom w:val="0"/>
                  <w:divBdr>
                    <w:top w:val="none" w:sz="0" w:space="0" w:color="auto"/>
                    <w:left w:val="none" w:sz="0" w:space="0" w:color="auto"/>
                    <w:bottom w:val="none" w:sz="0" w:space="0" w:color="auto"/>
                    <w:right w:val="none" w:sz="0" w:space="0" w:color="auto"/>
                  </w:divBdr>
                </w:div>
                <w:div w:id="1177841413">
                  <w:marLeft w:val="0"/>
                  <w:marRight w:val="0"/>
                  <w:marTop w:val="0"/>
                  <w:marBottom w:val="0"/>
                  <w:divBdr>
                    <w:top w:val="none" w:sz="0" w:space="0" w:color="auto"/>
                    <w:left w:val="none" w:sz="0" w:space="0" w:color="auto"/>
                    <w:bottom w:val="none" w:sz="0" w:space="0" w:color="auto"/>
                    <w:right w:val="none" w:sz="0" w:space="0" w:color="auto"/>
                  </w:divBdr>
                </w:div>
                <w:div w:id="1004239033">
                  <w:marLeft w:val="0"/>
                  <w:marRight w:val="0"/>
                  <w:marTop w:val="0"/>
                  <w:marBottom w:val="0"/>
                  <w:divBdr>
                    <w:top w:val="none" w:sz="0" w:space="0" w:color="auto"/>
                    <w:left w:val="none" w:sz="0" w:space="0" w:color="auto"/>
                    <w:bottom w:val="none" w:sz="0" w:space="0" w:color="auto"/>
                    <w:right w:val="none" w:sz="0" w:space="0" w:color="auto"/>
                  </w:divBdr>
                </w:div>
                <w:div w:id="1825244610">
                  <w:marLeft w:val="0"/>
                  <w:marRight w:val="0"/>
                  <w:marTop w:val="0"/>
                  <w:marBottom w:val="0"/>
                  <w:divBdr>
                    <w:top w:val="none" w:sz="0" w:space="0" w:color="auto"/>
                    <w:left w:val="none" w:sz="0" w:space="0" w:color="auto"/>
                    <w:bottom w:val="none" w:sz="0" w:space="0" w:color="auto"/>
                    <w:right w:val="none" w:sz="0" w:space="0" w:color="auto"/>
                  </w:divBdr>
                </w:div>
                <w:div w:id="1971130703">
                  <w:marLeft w:val="0"/>
                  <w:marRight w:val="0"/>
                  <w:marTop w:val="0"/>
                  <w:marBottom w:val="0"/>
                  <w:divBdr>
                    <w:top w:val="none" w:sz="0" w:space="0" w:color="auto"/>
                    <w:left w:val="none" w:sz="0" w:space="0" w:color="auto"/>
                    <w:bottom w:val="none" w:sz="0" w:space="0" w:color="auto"/>
                    <w:right w:val="none" w:sz="0" w:space="0" w:color="auto"/>
                  </w:divBdr>
                </w:div>
                <w:div w:id="492338124">
                  <w:marLeft w:val="0"/>
                  <w:marRight w:val="0"/>
                  <w:marTop w:val="0"/>
                  <w:marBottom w:val="0"/>
                  <w:divBdr>
                    <w:top w:val="none" w:sz="0" w:space="0" w:color="auto"/>
                    <w:left w:val="none" w:sz="0" w:space="0" w:color="auto"/>
                    <w:bottom w:val="none" w:sz="0" w:space="0" w:color="auto"/>
                    <w:right w:val="none" w:sz="0" w:space="0" w:color="auto"/>
                  </w:divBdr>
                </w:div>
                <w:div w:id="1984700377">
                  <w:marLeft w:val="0"/>
                  <w:marRight w:val="0"/>
                  <w:marTop w:val="0"/>
                  <w:marBottom w:val="0"/>
                  <w:divBdr>
                    <w:top w:val="none" w:sz="0" w:space="0" w:color="auto"/>
                    <w:left w:val="none" w:sz="0" w:space="0" w:color="auto"/>
                    <w:bottom w:val="none" w:sz="0" w:space="0" w:color="auto"/>
                    <w:right w:val="none" w:sz="0" w:space="0" w:color="auto"/>
                  </w:divBdr>
                </w:div>
                <w:div w:id="1791313079">
                  <w:marLeft w:val="0"/>
                  <w:marRight w:val="0"/>
                  <w:marTop w:val="0"/>
                  <w:marBottom w:val="0"/>
                  <w:divBdr>
                    <w:top w:val="none" w:sz="0" w:space="0" w:color="auto"/>
                    <w:left w:val="none" w:sz="0" w:space="0" w:color="auto"/>
                    <w:bottom w:val="none" w:sz="0" w:space="0" w:color="auto"/>
                    <w:right w:val="none" w:sz="0" w:space="0" w:color="auto"/>
                  </w:divBdr>
                </w:div>
                <w:div w:id="705450527">
                  <w:marLeft w:val="0"/>
                  <w:marRight w:val="0"/>
                  <w:marTop w:val="0"/>
                  <w:marBottom w:val="0"/>
                  <w:divBdr>
                    <w:top w:val="none" w:sz="0" w:space="0" w:color="auto"/>
                    <w:left w:val="none" w:sz="0" w:space="0" w:color="auto"/>
                    <w:bottom w:val="none" w:sz="0" w:space="0" w:color="auto"/>
                    <w:right w:val="none" w:sz="0" w:space="0" w:color="auto"/>
                  </w:divBdr>
                </w:div>
                <w:div w:id="389421695">
                  <w:marLeft w:val="0"/>
                  <w:marRight w:val="0"/>
                  <w:marTop w:val="0"/>
                  <w:marBottom w:val="0"/>
                  <w:divBdr>
                    <w:top w:val="none" w:sz="0" w:space="0" w:color="auto"/>
                    <w:left w:val="none" w:sz="0" w:space="0" w:color="auto"/>
                    <w:bottom w:val="none" w:sz="0" w:space="0" w:color="auto"/>
                    <w:right w:val="none" w:sz="0" w:space="0" w:color="auto"/>
                  </w:divBdr>
                </w:div>
                <w:div w:id="65346087">
                  <w:marLeft w:val="0"/>
                  <w:marRight w:val="0"/>
                  <w:marTop w:val="0"/>
                  <w:marBottom w:val="0"/>
                  <w:divBdr>
                    <w:top w:val="none" w:sz="0" w:space="0" w:color="auto"/>
                    <w:left w:val="none" w:sz="0" w:space="0" w:color="auto"/>
                    <w:bottom w:val="none" w:sz="0" w:space="0" w:color="auto"/>
                    <w:right w:val="none" w:sz="0" w:space="0" w:color="auto"/>
                  </w:divBdr>
                </w:div>
                <w:div w:id="1738899431">
                  <w:marLeft w:val="0"/>
                  <w:marRight w:val="0"/>
                  <w:marTop w:val="0"/>
                  <w:marBottom w:val="0"/>
                  <w:divBdr>
                    <w:top w:val="none" w:sz="0" w:space="0" w:color="auto"/>
                    <w:left w:val="none" w:sz="0" w:space="0" w:color="auto"/>
                    <w:bottom w:val="none" w:sz="0" w:space="0" w:color="auto"/>
                    <w:right w:val="none" w:sz="0" w:space="0" w:color="auto"/>
                  </w:divBdr>
                </w:div>
                <w:div w:id="1635867667">
                  <w:marLeft w:val="0"/>
                  <w:marRight w:val="0"/>
                  <w:marTop w:val="0"/>
                  <w:marBottom w:val="0"/>
                  <w:divBdr>
                    <w:top w:val="none" w:sz="0" w:space="0" w:color="auto"/>
                    <w:left w:val="none" w:sz="0" w:space="0" w:color="auto"/>
                    <w:bottom w:val="none" w:sz="0" w:space="0" w:color="auto"/>
                    <w:right w:val="none" w:sz="0" w:space="0" w:color="auto"/>
                  </w:divBdr>
                </w:div>
                <w:div w:id="145275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1860">
      <w:bodyDiv w:val="1"/>
      <w:marLeft w:val="0"/>
      <w:marRight w:val="0"/>
      <w:marTop w:val="0"/>
      <w:marBottom w:val="0"/>
      <w:divBdr>
        <w:top w:val="none" w:sz="0" w:space="0" w:color="auto"/>
        <w:left w:val="none" w:sz="0" w:space="0" w:color="auto"/>
        <w:bottom w:val="none" w:sz="0" w:space="0" w:color="auto"/>
        <w:right w:val="none" w:sz="0" w:space="0" w:color="auto"/>
      </w:divBdr>
    </w:div>
    <w:div w:id="105966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image" Target="media/image21.wmf"/><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oleObject" Target="embeddings/oleObject23.bin"/><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D6169-6D3C-4576-8D9C-9453E0F3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9226</Words>
  <Characters>50746</Characters>
  <Application>Microsoft Office Word</Application>
  <DocSecurity>0</DocSecurity>
  <Lines>422</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JORGE C</vt:lpstr>
      <vt:lpstr>JORGE C</vt:lpstr>
    </vt:vector>
  </TitlesOfParts>
  <Company>UCEMA</Company>
  <LinksUpToDate>false</LinksUpToDate>
  <CharactersWithSpaces>59853</CharactersWithSpaces>
  <SharedDoc>false</SharedDoc>
  <HLinks>
    <vt:vector size="30" baseType="variant">
      <vt:variant>
        <vt:i4>3473442</vt:i4>
      </vt:variant>
      <vt:variant>
        <vt:i4>162</vt:i4>
      </vt:variant>
      <vt:variant>
        <vt:i4>0</vt:i4>
      </vt:variant>
      <vt:variant>
        <vt:i4>5</vt:i4>
      </vt:variant>
      <vt:variant>
        <vt:lpwstr>http://ideas.repec/</vt:lpwstr>
      </vt:variant>
      <vt:variant>
        <vt:lpwstr/>
      </vt:variant>
      <vt:variant>
        <vt:i4>6488127</vt:i4>
      </vt:variant>
      <vt:variant>
        <vt:i4>159</vt:i4>
      </vt:variant>
      <vt:variant>
        <vt:i4>0</vt:i4>
      </vt:variant>
      <vt:variant>
        <vt:i4>5</vt:i4>
      </vt:variant>
      <vt:variant>
        <vt:lpwstr>http://www.bcu.gub.uy/</vt:lpwstr>
      </vt:variant>
      <vt:variant>
        <vt:lpwstr/>
      </vt:variant>
      <vt:variant>
        <vt:i4>8192111</vt:i4>
      </vt:variant>
      <vt:variant>
        <vt:i4>6</vt:i4>
      </vt:variant>
      <vt:variant>
        <vt:i4>0</vt:i4>
      </vt:variant>
      <vt:variant>
        <vt:i4>5</vt:i4>
      </vt:variant>
      <vt:variant>
        <vt:lpwstr>http://ksghome.harvard.edu/~drodrik/Reform.PDF</vt:lpwstr>
      </vt:variant>
      <vt:variant>
        <vt:lpwstr/>
      </vt:variant>
      <vt:variant>
        <vt:i4>6291502</vt:i4>
      </vt:variant>
      <vt:variant>
        <vt:i4>3</vt:i4>
      </vt:variant>
      <vt:variant>
        <vt:i4>0</vt:i4>
      </vt:variant>
      <vt:variant>
        <vt:i4>5</vt:i4>
      </vt:variant>
      <vt:variant>
        <vt:lpwstr>http://www.vespito.net/historia/franco/ecofran.html</vt:lpwstr>
      </vt:variant>
      <vt:variant>
        <vt:lpwstr/>
      </vt:variant>
      <vt:variant>
        <vt:i4>1245279</vt:i4>
      </vt:variant>
      <vt:variant>
        <vt:i4>0</vt:i4>
      </vt:variant>
      <vt:variant>
        <vt:i4>0</vt:i4>
      </vt:variant>
      <vt:variant>
        <vt:i4>5</vt:i4>
      </vt:variant>
      <vt:variant>
        <vt:lpwstr>http://www.vespito.net/historia/franco/estft.html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JORGE C</dc:title>
  <dc:creator>JCA</dc:creator>
  <cp:lastModifiedBy>Alicia Saliva</cp:lastModifiedBy>
  <cp:revision>5</cp:revision>
  <cp:lastPrinted>2015-02-02T22:33:00Z</cp:lastPrinted>
  <dcterms:created xsi:type="dcterms:W3CDTF">2020-11-10T21:33:00Z</dcterms:created>
  <dcterms:modified xsi:type="dcterms:W3CDTF">2020-11-10T21:42:00Z</dcterms:modified>
</cp:coreProperties>
</file>